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C7D8C" w14:textId="77777777" w:rsidR="003036B0" w:rsidRPr="00665DA3" w:rsidRDefault="003036B0" w:rsidP="00BC3566">
      <w:pPr>
        <w:jc w:val="center"/>
        <w:rPr>
          <w:b/>
        </w:rPr>
      </w:pPr>
      <w:r w:rsidRPr="00665DA3">
        <w:rPr>
          <w:b/>
        </w:rPr>
        <w:t>Návrh kritérií na prerozdelenie finančných prostriedkov</w:t>
      </w:r>
    </w:p>
    <w:p w14:paraId="7315D4BF" w14:textId="4690A891" w:rsidR="00BC3566" w:rsidRPr="00665DA3" w:rsidRDefault="003036B0" w:rsidP="00BC3566">
      <w:pPr>
        <w:jc w:val="center"/>
        <w:rPr>
          <w:b/>
        </w:rPr>
      </w:pPr>
      <w:r w:rsidRPr="00665DA3">
        <w:rPr>
          <w:b/>
        </w:rPr>
        <w:t xml:space="preserve">Slovensko, Program </w:t>
      </w:r>
      <w:r w:rsidR="00BC3566" w:rsidRPr="00665DA3">
        <w:rPr>
          <w:b/>
        </w:rPr>
        <w:t xml:space="preserve">SK09 </w:t>
      </w:r>
      <w:r w:rsidR="006B0599">
        <w:rPr>
          <w:b/>
        </w:rPr>
        <w:t xml:space="preserve">Domáce a rodovo </w:t>
      </w:r>
      <w:r w:rsidRPr="00665DA3">
        <w:rPr>
          <w:b/>
        </w:rPr>
        <w:t>podmienené násilie</w:t>
      </w:r>
    </w:p>
    <w:p w14:paraId="278FA41E" w14:textId="36C4A0A8" w:rsidR="00BC3566" w:rsidRPr="00665DA3" w:rsidRDefault="00BC3566" w:rsidP="00BC3566">
      <w:pPr>
        <w:jc w:val="center"/>
      </w:pPr>
      <w:r w:rsidRPr="00665DA3">
        <w:t>(</w:t>
      </w:r>
      <w:r w:rsidR="003036B0" w:rsidRPr="00665DA3">
        <w:t>uplatňuje sa článok 6.9 Nariadenia</w:t>
      </w:r>
      <w:r w:rsidRPr="00665DA3">
        <w:t>)</w:t>
      </w:r>
    </w:p>
    <w:p w14:paraId="4C97DFB3" w14:textId="77777777" w:rsidR="00BC3566" w:rsidRPr="00665DA3" w:rsidRDefault="00BC3566" w:rsidP="00BC3566">
      <w:pPr>
        <w:jc w:val="center"/>
      </w:pPr>
    </w:p>
    <w:p w14:paraId="796DB6D5" w14:textId="74870EF0" w:rsidR="008303BF" w:rsidRPr="00665DA3" w:rsidRDefault="008303BF">
      <w:pPr>
        <w:rPr>
          <w:b/>
        </w:rPr>
      </w:pPr>
      <w:r w:rsidRPr="00665DA3">
        <w:rPr>
          <w:b/>
        </w:rPr>
        <w:t xml:space="preserve">1. </w:t>
      </w:r>
      <w:r w:rsidR="00CD00F7">
        <w:rPr>
          <w:b/>
        </w:rPr>
        <w:t>V rámci ktorej výzvy programu SK09 bol</w:t>
      </w:r>
      <w:r w:rsidR="003036B0" w:rsidRPr="00665DA3">
        <w:rPr>
          <w:b/>
        </w:rPr>
        <w:t xml:space="preserve"> podporený </w:t>
      </w:r>
      <w:r w:rsidR="00CD00F7">
        <w:rPr>
          <w:b/>
        </w:rPr>
        <w:t xml:space="preserve">Váš projekt - </w:t>
      </w:r>
      <w:r w:rsidR="003036B0" w:rsidRPr="00665DA3">
        <w:rPr>
          <w:b/>
        </w:rPr>
        <w:t>v rámci výzvy DGV01</w:t>
      </w:r>
      <w:r w:rsidR="00CD00F7">
        <w:rPr>
          <w:b/>
        </w:rPr>
        <w:t>, DGV02 alebo DGV03</w:t>
      </w:r>
      <w:r w:rsidR="003036B0" w:rsidRPr="00665DA3">
        <w:rPr>
          <w:b/>
        </w:rPr>
        <w:t xml:space="preserve">? </w:t>
      </w:r>
    </w:p>
    <w:p w14:paraId="279B6CDA" w14:textId="34CBDF79" w:rsidR="003036B0" w:rsidRPr="00665DA3" w:rsidRDefault="003036B0" w:rsidP="008303BF">
      <w:pPr>
        <w:jc w:val="both"/>
      </w:pPr>
      <w:r w:rsidRPr="00665DA3">
        <w:t xml:space="preserve">Našim zámerom je </w:t>
      </w:r>
      <w:r w:rsidR="00CD00F7">
        <w:t xml:space="preserve">prioritne prerozdeliť finančné prostriedky </w:t>
      </w:r>
      <w:r w:rsidRPr="00665DA3">
        <w:t>medzi projekty podporené v rámci výziev DGV02 a DGV03</w:t>
      </w:r>
      <w:r w:rsidR="00CD00F7">
        <w:t xml:space="preserve">, keďže projekty s výzvy DGBV01 už túto možnosť mali na prelome rokov 2015/2016. Keďže voľné finančné prostriedky sú v dostatočnej výške, predpokladá sa, že bude dostatok finančných prostriedkov aj na podporu projektu z výzvy DGBV01, ktoré splnia podmienky na pridelenie dodatočných finančných prostriedkov. </w:t>
      </w:r>
    </w:p>
    <w:p w14:paraId="44010016" w14:textId="40E20DB8" w:rsidR="00BB2CA3" w:rsidRPr="00665DA3" w:rsidRDefault="00BB2CA3" w:rsidP="008303BF">
      <w:pPr>
        <w:jc w:val="both"/>
      </w:pPr>
      <w:r w:rsidRPr="00665DA3">
        <w:rPr>
          <w:b/>
        </w:rPr>
        <w:t xml:space="preserve">2. </w:t>
      </w:r>
      <w:r w:rsidR="00B30D33" w:rsidRPr="00665DA3">
        <w:rPr>
          <w:b/>
        </w:rPr>
        <w:t>Prispievajú</w:t>
      </w:r>
      <w:r w:rsidR="003036B0" w:rsidRPr="00665DA3">
        <w:rPr>
          <w:b/>
        </w:rPr>
        <w:t xml:space="preserve"> </w:t>
      </w:r>
      <w:r w:rsidR="00B30D33" w:rsidRPr="00665DA3">
        <w:rPr>
          <w:b/>
        </w:rPr>
        <w:t>dodatočné</w:t>
      </w:r>
      <w:r w:rsidR="003036B0" w:rsidRPr="00665DA3">
        <w:rPr>
          <w:b/>
        </w:rPr>
        <w:t xml:space="preserve"> </w:t>
      </w:r>
      <w:r w:rsidR="00B30D33" w:rsidRPr="00665DA3">
        <w:rPr>
          <w:b/>
        </w:rPr>
        <w:t>aktivity</w:t>
      </w:r>
      <w:r w:rsidR="003036B0" w:rsidRPr="00665DA3">
        <w:rPr>
          <w:b/>
        </w:rPr>
        <w:t xml:space="preserve"> k cieľom projektu, ktorý má získať dodatočné finančné prostriedky? </w:t>
      </w:r>
    </w:p>
    <w:p w14:paraId="756D1DAA" w14:textId="2E63BE18" w:rsidR="00BB2CA3" w:rsidRPr="00665DA3" w:rsidRDefault="003036B0" w:rsidP="008303BF">
      <w:pPr>
        <w:jc w:val="both"/>
      </w:pPr>
      <w:r w:rsidRPr="00665DA3">
        <w:t xml:space="preserve">Dodatočné </w:t>
      </w:r>
      <w:r w:rsidR="00B30D33" w:rsidRPr="00665DA3">
        <w:t>aktivity</w:t>
      </w:r>
      <w:r w:rsidRPr="00665DA3">
        <w:t xml:space="preserve"> musia viesť k zvýšeniu alebo zlepšeniu výsledkov projektu (napr. zvýšenie cieľových hodnôt indikátorov, ako je počet klientov majúcich prospech z poskytovaných služieb)</w:t>
      </w:r>
      <w:r w:rsidR="008C265F">
        <w:t xml:space="preserve">, prispievať rozvoju osobitných podmienok projektov ako napr. </w:t>
      </w:r>
      <w:r w:rsidR="0015507B" w:rsidRPr="0015507B">
        <w:t>zavádzanie praktických nástrojov a metód pre zabezpečenie špecifických potrieb zraniteľných skupín (napr. školenie zamerané na kultúrnu citlivosť)</w:t>
      </w:r>
      <w:r w:rsidRPr="00665DA3">
        <w:t xml:space="preserve">. </w:t>
      </w:r>
    </w:p>
    <w:p w14:paraId="7617E79C" w14:textId="5D95FBE6" w:rsidR="002B5501" w:rsidRPr="00665DA3" w:rsidRDefault="00355F59" w:rsidP="002B5501">
      <w:pPr>
        <w:jc w:val="both"/>
        <w:rPr>
          <w:b/>
        </w:rPr>
      </w:pPr>
      <w:r w:rsidRPr="00665DA3">
        <w:rPr>
          <w:b/>
        </w:rPr>
        <w:t>3</w:t>
      </w:r>
      <w:r w:rsidR="002B5501" w:rsidRPr="00665DA3">
        <w:rPr>
          <w:b/>
        </w:rPr>
        <w:t xml:space="preserve">. </w:t>
      </w:r>
      <w:r w:rsidR="003036B0" w:rsidRPr="00665DA3">
        <w:rPr>
          <w:b/>
        </w:rPr>
        <w:t>Spĺňa projekt indikátory na úrovni výstupov projektu?</w:t>
      </w:r>
    </w:p>
    <w:p w14:paraId="0E1D3865" w14:textId="51974517" w:rsidR="002B5501" w:rsidRPr="00665DA3" w:rsidRDefault="003036B0" w:rsidP="002B5501">
      <w:pPr>
        <w:jc w:val="both"/>
      </w:pPr>
      <w:r w:rsidRPr="00665DA3">
        <w:t xml:space="preserve">Prijímateľ poskytne aktuálne hodnoty indikátorov na úrovni výstupov projektu. Vždy, ak je to vhodné, poskytne Prijímateľ aj priemernú mesačnú hodnotu pre každý z indikátorov tak, aby výberová komisia mohla overiť, či cieľové hodnoty indikátorov môžu byť dosiahnuté. </w:t>
      </w:r>
      <w:r w:rsidR="005F481A">
        <w:t>Výberová komisia môže zohľadniť objektívne príčiny nenapĺňania indikátorov určitého druhu, ak sú pozorované u</w:t>
      </w:r>
      <w:r w:rsidR="009C0428">
        <w:t> viacerých projektov.</w:t>
      </w:r>
      <w:bookmarkStart w:id="0" w:name="_GoBack"/>
      <w:bookmarkEnd w:id="0"/>
    </w:p>
    <w:p w14:paraId="120943C0" w14:textId="61CBF08D" w:rsidR="002B5501" w:rsidRPr="00665DA3" w:rsidRDefault="00355F59" w:rsidP="002B5501">
      <w:pPr>
        <w:jc w:val="both"/>
        <w:rPr>
          <w:b/>
        </w:rPr>
      </w:pPr>
      <w:r w:rsidRPr="00665DA3">
        <w:rPr>
          <w:b/>
        </w:rPr>
        <w:t>4</w:t>
      </w:r>
      <w:r w:rsidR="002B5501" w:rsidRPr="00665DA3">
        <w:rPr>
          <w:b/>
        </w:rPr>
        <w:t xml:space="preserve">. </w:t>
      </w:r>
      <w:r w:rsidR="003036B0" w:rsidRPr="00665DA3">
        <w:rPr>
          <w:b/>
        </w:rPr>
        <w:t xml:space="preserve">Sú služby poskytované v súlade s minimálnymi štandardmi Rady Európy? </w:t>
      </w:r>
    </w:p>
    <w:p w14:paraId="0D4F54AA" w14:textId="12250361" w:rsidR="008A7777" w:rsidRPr="00665DA3" w:rsidRDefault="003036B0" w:rsidP="002B5501">
      <w:pPr>
        <w:jc w:val="both"/>
      </w:pPr>
      <w:r w:rsidRPr="00665DA3">
        <w:t xml:space="preserve">Za týmto účelom predloží Prijímateľ pozitívne stanovisko podpísané </w:t>
      </w:r>
      <w:r w:rsidR="00B30D33" w:rsidRPr="00665DA3">
        <w:t>odborným</w:t>
      </w:r>
      <w:r w:rsidRPr="00665DA3">
        <w:t xml:space="preserve"> garantom projektu alebo odborným garantom poskytovania služieb. Zároveň poskytne zoznam súčasných zamestnancov zodpovedných za poskytovanie služieb, vrátane </w:t>
      </w:r>
      <w:r w:rsidR="008A7777" w:rsidRPr="00665DA3">
        <w:t>veľmi stručného zhrnutia životopisu (dosiahnuté vzdelanie, pracovné skúsenosti a pod.) Prijímateľ taktiež vyplní a zašle dotazník vypracovaný Koordinačno-metodickým centr</w:t>
      </w:r>
      <w:r w:rsidR="00B60B76" w:rsidRPr="00665DA3">
        <w:t>o</w:t>
      </w:r>
      <w:r w:rsidR="008A7777" w:rsidRPr="00665DA3">
        <w:t xml:space="preserve">m. V súlade s článkom 5.5 Prílohy </w:t>
      </w:r>
      <w:r w:rsidR="00C952E4" w:rsidRPr="00665DA3">
        <w:t>1</w:t>
      </w:r>
      <w:r w:rsidR="008A7777" w:rsidRPr="00665DA3">
        <w:t xml:space="preserve"> k Projektovej zmluve je </w:t>
      </w:r>
      <w:r w:rsidR="00B30D33" w:rsidRPr="00665DA3">
        <w:t>prijímateľ</w:t>
      </w:r>
      <w:r w:rsidR="008A7777" w:rsidRPr="00665DA3">
        <w:t xml:space="preserve"> povinný umožniť Koordinačno-metodickému centru vykonať monitorovanie </w:t>
      </w:r>
      <w:r w:rsidR="00B60B76" w:rsidRPr="00665DA3">
        <w:t xml:space="preserve">v </w:t>
      </w:r>
      <w:r w:rsidR="008A7777" w:rsidRPr="00665DA3">
        <w:t>súlade s minimálnymi štandardmi Rady Európy, ak sa takýto monitoring vykonáva. Správa programu alebo výberová komisia môžu osloviť garanta so žiadosťou o poskytnutie dodatočných informácií, ak je to potrebné. V prípade, ak garancia poskytovania služieb alebo projektu nie sú podmienkou v zmysle Projektovej zmluvy, Správca programu môže požiadať nezávislých expertov o výkon monitorovania a poskytnutie stanoviska osobitne zameraného na tieto otázky. Správca programu je oprávnený učiniť tak aj v prípad</w:t>
      </w:r>
      <w:r w:rsidR="002645C8" w:rsidRPr="00665DA3">
        <w:t>e</w:t>
      </w:r>
      <w:r w:rsidR="008A7777" w:rsidRPr="00665DA3">
        <w:t xml:space="preserve">, ak sa stanoviská podpísané odborným garantom projektu alebo poskytovania služieb značne </w:t>
      </w:r>
      <w:r w:rsidR="00B30D33" w:rsidRPr="00665DA3">
        <w:t>líšia</w:t>
      </w:r>
      <w:r w:rsidR="008A7777" w:rsidRPr="00665DA3">
        <w:t xml:space="preserve"> od informácií získaných správcom programu, členmi výberovej komisie z iných zdrojov. </w:t>
      </w:r>
      <w:r w:rsidR="008A7777" w:rsidRPr="00665DA3">
        <w:lastRenderedPageBreak/>
        <w:t>Výberové komisia môže v prípadoch hodných osobitného zreteľa podmieniť svoje odporúčanie prideleni</w:t>
      </w:r>
      <w:r w:rsidR="00B60B76" w:rsidRPr="00665DA3">
        <w:t>a</w:t>
      </w:r>
      <w:r w:rsidR="008A7777" w:rsidRPr="00665DA3">
        <w:t xml:space="preserve"> dodatočných finančných prostriedkov prijatím opatrení, ktoré zabezpečia súlad s minimálnymi štandardmi Rady Európy.</w:t>
      </w:r>
    </w:p>
    <w:p w14:paraId="1E6BAC26" w14:textId="30FF6134" w:rsidR="008303BF" w:rsidRPr="00665DA3" w:rsidRDefault="00355F59" w:rsidP="008A7777">
      <w:pPr>
        <w:jc w:val="both"/>
        <w:rPr>
          <w:b/>
        </w:rPr>
      </w:pPr>
      <w:r w:rsidRPr="00665DA3">
        <w:rPr>
          <w:b/>
        </w:rPr>
        <w:t>5</w:t>
      </w:r>
      <w:r w:rsidR="008303BF" w:rsidRPr="00665DA3">
        <w:rPr>
          <w:b/>
        </w:rPr>
        <w:t>.</w:t>
      </w:r>
      <w:r w:rsidR="008A7777" w:rsidRPr="00665DA3">
        <w:rPr>
          <w:b/>
        </w:rPr>
        <w:t xml:space="preserve"> Ste schopn</w:t>
      </w:r>
      <w:r w:rsidR="00B60B76" w:rsidRPr="00665DA3">
        <w:rPr>
          <w:b/>
        </w:rPr>
        <w:t>ý</w:t>
      </w:r>
      <w:r w:rsidR="008A7777" w:rsidRPr="00665DA3">
        <w:rPr>
          <w:b/>
        </w:rPr>
        <w:t xml:space="preserve"> zabezpečiť povinné spolufinancovanie</w:t>
      </w:r>
      <w:r w:rsidR="00B30D33" w:rsidRPr="00665DA3">
        <w:rPr>
          <w:b/>
        </w:rPr>
        <w:t xml:space="preserve"> </w:t>
      </w:r>
      <w:r w:rsidR="008A7777" w:rsidRPr="00665DA3">
        <w:rPr>
          <w:b/>
        </w:rPr>
        <w:t>k dodatočným finančným prostriedkov vo výške zodpovedajúce</w:t>
      </w:r>
      <w:r w:rsidR="00B60B76" w:rsidRPr="00665DA3">
        <w:rPr>
          <w:b/>
        </w:rPr>
        <w:t>j</w:t>
      </w:r>
      <w:r w:rsidR="008A7777" w:rsidRPr="00665DA3">
        <w:rPr>
          <w:b/>
        </w:rPr>
        <w:t xml:space="preserve"> aktuálnej miere projektového grantu stanovenej v Projektovej zmluve?</w:t>
      </w:r>
    </w:p>
    <w:p w14:paraId="53C62A28" w14:textId="77777777" w:rsidR="00681371" w:rsidRPr="00470414" w:rsidRDefault="008A7777" w:rsidP="00681371">
      <w:pPr>
        <w:spacing w:after="0" w:line="240" w:lineRule="auto"/>
        <w:jc w:val="both"/>
      </w:pPr>
      <w:r w:rsidRPr="00665DA3">
        <w:t>Splnenie tohto kritéria sa bude posudzovať na základe čestného vyhlásenia štatutárneho zástupcu.</w:t>
      </w:r>
      <w:r w:rsidR="003A7BF5" w:rsidRPr="00665DA3">
        <w:t xml:space="preserve"> V prípade, ak sa vyžaduje</w:t>
      </w:r>
      <w:r w:rsidRPr="00665DA3">
        <w:t xml:space="preserve"> </w:t>
      </w:r>
      <w:r w:rsidR="000A3E39" w:rsidRPr="00665DA3">
        <w:t>súhlas nadriadeného orgánu (zriaďovateľa, správnej rady a</w:t>
      </w:r>
      <w:r w:rsidR="00B60B76" w:rsidRPr="00665DA3">
        <w:t> </w:t>
      </w:r>
      <w:r w:rsidR="000A3E39" w:rsidRPr="00665DA3">
        <w:t>pod</w:t>
      </w:r>
      <w:r w:rsidR="00B60B76" w:rsidRPr="00665DA3">
        <w:t>.</w:t>
      </w:r>
      <w:r w:rsidR="000A3E39" w:rsidRPr="00665DA3">
        <w:t>, musí byť tento súhlas predložený).</w:t>
      </w:r>
      <w:r w:rsidR="00681371">
        <w:t xml:space="preserve"> Výpis z bankového účtu, prípadne prísľub bankovej alebo inej inštitúcie bude nevyhnutné predložiť pred podpisom dodatku k projektovej zmluve.</w:t>
      </w:r>
    </w:p>
    <w:p w14:paraId="744C326B" w14:textId="77777777" w:rsidR="00681371" w:rsidRDefault="00681371" w:rsidP="008303BF">
      <w:pPr>
        <w:rPr>
          <w:b/>
        </w:rPr>
      </w:pPr>
    </w:p>
    <w:p w14:paraId="63389712" w14:textId="68C2206A" w:rsidR="008303BF" w:rsidRPr="00665DA3" w:rsidRDefault="00355F59" w:rsidP="008303BF">
      <w:pPr>
        <w:rPr>
          <w:b/>
        </w:rPr>
      </w:pPr>
      <w:r w:rsidRPr="00665DA3">
        <w:rPr>
          <w:b/>
        </w:rPr>
        <w:t>6</w:t>
      </w:r>
      <w:r w:rsidR="008303BF" w:rsidRPr="00665DA3">
        <w:rPr>
          <w:b/>
        </w:rPr>
        <w:t xml:space="preserve">. </w:t>
      </w:r>
      <w:r w:rsidR="000A3E39" w:rsidRPr="00665DA3">
        <w:rPr>
          <w:b/>
        </w:rPr>
        <w:t xml:space="preserve">Boli v rámci projektu hlásené závažné prípady nezrovnalostí? </w:t>
      </w:r>
    </w:p>
    <w:p w14:paraId="04ED4671" w14:textId="6126D6E0" w:rsidR="000A3E39" w:rsidRPr="00665DA3" w:rsidRDefault="000A3E39" w:rsidP="008303BF">
      <w:pPr>
        <w:jc w:val="both"/>
      </w:pPr>
      <w:r w:rsidRPr="00665DA3">
        <w:t xml:space="preserve">Prijímateľ uvedie zoznam všetkých nezrovnalostí hlásených v rámci projektu. Správcu programu preskúma úplnosť tohto zoznamu. </w:t>
      </w:r>
      <w:r w:rsidR="00B30D33" w:rsidRPr="00665DA3">
        <w:t>Závažným</w:t>
      </w:r>
      <w:r w:rsidRPr="00665DA3">
        <w:t xml:space="preserve"> </w:t>
      </w:r>
      <w:r w:rsidR="00B30D33" w:rsidRPr="00665DA3">
        <w:t>prípadom</w:t>
      </w:r>
      <w:r w:rsidRPr="00665DA3">
        <w:t xml:space="preserve"> sa rozumie nezrovnalosť vedúca k finančným korekciám vo výške 25% z projektového grantu a viac alebo nezrovnalosť inak ovplyvňujúca implementáciu projektu podstatným spôsobom. </w:t>
      </w:r>
    </w:p>
    <w:p w14:paraId="1FDC7D5D" w14:textId="6EFF3CAB" w:rsidR="000A3E39" w:rsidRPr="00045F6B" w:rsidRDefault="000A3E39" w:rsidP="008303BF">
      <w:pPr>
        <w:jc w:val="both"/>
        <w:rPr>
          <w:b/>
        </w:rPr>
      </w:pPr>
      <w:r w:rsidRPr="00665DA3">
        <w:rPr>
          <w:b/>
        </w:rPr>
        <w:t>7. Je prijímateľ (alebo partner, ak je to relevantné) registrovaným a</w:t>
      </w:r>
      <w:r w:rsidR="00023AA1">
        <w:rPr>
          <w:b/>
        </w:rPr>
        <w:t>/alebo</w:t>
      </w:r>
      <w:r w:rsidRPr="00665DA3">
        <w:rPr>
          <w:b/>
        </w:rPr>
        <w:t xml:space="preserve"> akreditovaným subjektom na poskytovanie služieb </w:t>
      </w:r>
      <w:r w:rsidRPr="00045F6B">
        <w:rPr>
          <w:b/>
        </w:rPr>
        <w:t>v súlade s príslušnou legislatívou</w:t>
      </w:r>
      <w:r w:rsidR="00A4106D" w:rsidRPr="00045F6B">
        <w:rPr>
          <w:b/>
        </w:rPr>
        <w:t>, ak je to relevantné</w:t>
      </w:r>
      <w:r w:rsidRPr="00045F6B">
        <w:rPr>
          <w:b/>
        </w:rPr>
        <w:t>? Je rozhodnutie o akreditácii platné a účinné?</w:t>
      </w:r>
    </w:p>
    <w:p w14:paraId="3467FFC8" w14:textId="04EE0F4F" w:rsidR="000A3E39" w:rsidRPr="00045F6B" w:rsidRDefault="000A3E39" w:rsidP="00113300">
      <w:pPr>
        <w:jc w:val="both"/>
      </w:pPr>
      <w:r w:rsidRPr="00045F6B">
        <w:t xml:space="preserve">Prijímateľ predloží </w:t>
      </w:r>
      <w:r w:rsidR="00A4106D" w:rsidRPr="00045F6B">
        <w:t>plat</w:t>
      </w:r>
      <w:r w:rsidRPr="00045F6B">
        <w:t>n</w:t>
      </w:r>
      <w:r w:rsidR="00A4106D" w:rsidRPr="00045F6B">
        <w:t>é</w:t>
      </w:r>
      <w:r w:rsidRPr="00045F6B">
        <w:t xml:space="preserve"> a účinné rozhodnutie o udelení akreditácie. Ak toto rozhodnutie nebolo získané do </w:t>
      </w:r>
      <w:r w:rsidR="007874BA" w:rsidRPr="00045F6B">
        <w:t>30</w:t>
      </w:r>
      <w:r w:rsidR="00023AA1" w:rsidRPr="00045F6B">
        <w:t>. 9</w:t>
      </w:r>
      <w:r w:rsidRPr="00045F6B">
        <w:t>.</w:t>
      </w:r>
      <w:r w:rsidR="00023AA1" w:rsidRPr="00045F6B">
        <w:t xml:space="preserve"> </w:t>
      </w:r>
      <w:r w:rsidRPr="00045F6B">
        <w:t>201</w:t>
      </w:r>
      <w:r w:rsidR="00B60B76" w:rsidRPr="00045F6B">
        <w:t>6</w:t>
      </w:r>
      <w:r w:rsidRPr="00045F6B">
        <w:t>, môže výberová komisia v prípadoch hodných osobitného zreteľa podmieniť svoje odporúčanie na pridelenie dodatočných finančných prostriedkov predložením tohto dokumentu do predĺženého termín</w:t>
      </w:r>
      <w:r w:rsidR="00B60B76" w:rsidRPr="00045F6B">
        <w:t>u</w:t>
      </w:r>
      <w:r w:rsidRPr="00045F6B">
        <w:t xml:space="preserve">, spravidla nie neskôr ako do </w:t>
      </w:r>
      <w:r w:rsidR="007874BA" w:rsidRPr="00045F6B">
        <w:t>31</w:t>
      </w:r>
      <w:r w:rsidRPr="00045F6B">
        <w:t>.</w:t>
      </w:r>
      <w:r w:rsidR="00023AA1" w:rsidRPr="00045F6B">
        <w:t xml:space="preserve"> 10</w:t>
      </w:r>
      <w:r w:rsidRPr="00045F6B">
        <w:t>.</w:t>
      </w:r>
      <w:r w:rsidR="00023AA1" w:rsidRPr="00045F6B">
        <w:t xml:space="preserve"> </w:t>
      </w:r>
      <w:r w:rsidRPr="00045F6B">
        <w:t xml:space="preserve">2016. </w:t>
      </w:r>
    </w:p>
    <w:p w14:paraId="3A5E286B" w14:textId="552C344B" w:rsidR="00A4106D" w:rsidRPr="00045F6B" w:rsidRDefault="00B30D33" w:rsidP="00113300">
      <w:pPr>
        <w:jc w:val="both"/>
        <w:rPr>
          <w:b/>
        </w:rPr>
      </w:pPr>
      <w:r w:rsidRPr="00045F6B">
        <w:rPr>
          <w:b/>
        </w:rPr>
        <w:t xml:space="preserve">8. </w:t>
      </w:r>
      <w:r w:rsidR="00A4106D" w:rsidRPr="00045F6B">
        <w:rPr>
          <w:b/>
        </w:rPr>
        <w:t>Bol bezpečný ženský dom</w:t>
      </w:r>
      <w:r w:rsidR="00023AA1" w:rsidRPr="00045F6B">
        <w:rPr>
          <w:b/>
        </w:rPr>
        <w:t>/poradenské centrum</w:t>
      </w:r>
      <w:r w:rsidR="00A4106D" w:rsidRPr="00045F6B">
        <w:rPr>
          <w:b/>
        </w:rPr>
        <w:t xml:space="preserve"> dokončen</w:t>
      </w:r>
      <w:r w:rsidR="00023AA1" w:rsidRPr="00045F6B">
        <w:rPr>
          <w:b/>
        </w:rPr>
        <w:t>ý/-é</w:t>
      </w:r>
      <w:r w:rsidR="00A4106D" w:rsidRPr="00045F6B">
        <w:rPr>
          <w:b/>
        </w:rPr>
        <w:t xml:space="preserve"> a</w:t>
      </w:r>
      <w:r w:rsidR="00023AA1" w:rsidRPr="00045F6B">
        <w:rPr>
          <w:b/>
        </w:rPr>
        <w:t> </w:t>
      </w:r>
      <w:r w:rsidR="00A4106D" w:rsidRPr="00045F6B">
        <w:rPr>
          <w:b/>
        </w:rPr>
        <w:t>otvorený</w:t>
      </w:r>
      <w:r w:rsidR="00023AA1" w:rsidRPr="00045F6B">
        <w:rPr>
          <w:b/>
        </w:rPr>
        <w:t>/-é</w:t>
      </w:r>
      <w:r w:rsidR="00A4106D" w:rsidRPr="00045F6B">
        <w:rPr>
          <w:b/>
        </w:rPr>
        <w:t>, ak je to relevantné?</w:t>
      </w:r>
    </w:p>
    <w:p w14:paraId="76627096" w14:textId="2876C884" w:rsidR="00113300" w:rsidRPr="00045F6B" w:rsidRDefault="00A4106D" w:rsidP="00113300">
      <w:pPr>
        <w:jc w:val="both"/>
      </w:pPr>
      <w:r w:rsidRPr="00045F6B">
        <w:t>Prijímateľ predloží platn</w:t>
      </w:r>
      <w:r w:rsidR="00B30D33" w:rsidRPr="00045F6B">
        <w:t>é</w:t>
      </w:r>
      <w:r w:rsidRPr="00045F6B">
        <w:t xml:space="preserve"> kolaudačné </w:t>
      </w:r>
      <w:r w:rsidR="00B30D33" w:rsidRPr="00045F6B">
        <w:t>rozhodnutie</w:t>
      </w:r>
      <w:r w:rsidRPr="00045F6B">
        <w:t xml:space="preserve">. Ak tento certifikát nebol získaný do </w:t>
      </w:r>
      <w:r w:rsidR="007874BA" w:rsidRPr="00045F6B">
        <w:t>30</w:t>
      </w:r>
      <w:r w:rsidR="00023AA1" w:rsidRPr="00045F6B">
        <w:t>. 9. 2016</w:t>
      </w:r>
      <w:r w:rsidRPr="00045F6B">
        <w:t>, môže výberová komisia v prípadoch hodných osobitného zreteľa podmieniť svoje odporúčanie na pridelenie dodatočných finančných prostriedkov predložením tohto dokumentu do predĺženého termín</w:t>
      </w:r>
      <w:r w:rsidR="00B60B76" w:rsidRPr="00045F6B">
        <w:t>u</w:t>
      </w:r>
      <w:r w:rsidRPr="00045F6B">
        <w:t xml:space="preserve">, spravidla nie neskôr ako do </w:t>
      </w:r>
      <w:r w:rsidR="007874BA" w:rsidRPr="00045F6B">
        <w:t>31</w:t>
      </w:r>
      <w:r w:rsidR="00023AA1" w:rsidRPr="00045F6B">
        <w:t>. 10. 2016</w:t>
      </w:r>
      <w:r w:rsidRPr="00045F6B">
        <w:t xml:space="preserve">. </w:t>
      </w:r>
    </w:p>
    <w:p w14:paraId="00854FF6" w14:textId="13A53C17" w:rsidR="00D64E5A" w:rsidRPr="00045F6B" w:rsidRDefault="00355F59" w:rsidP="00D64E5A">
      <w:pPr>
        <w:jc w:val="both"/>
        <w:rPr>
          <w:b/>
        </w:rPr>
      </w:pPr>
      <w:r w:rsidRPr="00045F6B">
        <w:rPr>
          <w:b/>
        </w:rPr>
        <w:t>9</w:t>
      </w:r>
      <w:r w:rsidR="00D64E5A" w:rsidRPr="00045F6B">
        <w:rPr>
          <w:b/>
        </w:rPr>
        <w:t xml:space="preserve">.  </w:t>
      </w:r>
      <w:r w:rsidR="00A4106D" w:rsidRPr="00045F6B">
        <w:rPr>
          <w:b/>
        </w:rPr>
        <w:t xml:space="preserve">Pokračuje </w:t>
      </w:r>
      <w:r w:rsidR="00B30D33" w:rsidRPr="00045F6B">
        <w:rPr>
          <w:b/>
        </w:rPr>
        <w:t>projekt</w:t>
      </w:r>
      <w:r w:rsidR="00A4106D" w:rsidRPr="00045F6B">
        <w:rPr>
          <w:b/>
        </w:rPr>
        <w:t xml:space="preserve"> v súlade s časovým harmonogramom uvedeným v tabuľke č. 10 (Harmonogram zúčtovania skutočne vynaložených oprávnených výdavkov)? </w:t>
      </w:r>
    </w:p>
    <w:p w14:paraId="6101B385" w14:textId="3B4ECC93" w:rsidR="00A4106D" w:rsidRPr="00045F6B" w:rsidRDefault="00A4106D" w:rsidP="00D64E5A">
      <w:pPr>
        <w:jc w:val="both"/>
      </w:pPr>
      <w:r w:rsidRPr="00045F6B">
        <w:t xml:space="preserve">Prijímateľ poskytne aktuálne údaje týkajúce sa tohto kritériá, ktoré budú overené správcom programu prostredníctvom Priebežných správ o projekte. Toto kritérium má uprednostniť tých prijímateľov, ktorí boli schopní realizovať </w:t>
      </w:r>
      <w:r w:rsidR="00B30D33" w:rsidRPr="00045F6B">
        <w:t>projekt</w:t>
      </w:r>
      <w:r w:rsidRPr="00045F6B">
        <w:t xml:space="preserve"> v súlade s plánovaným harmonogramom a tým, ktorí zaostávajú umožniť sústrediť sa výlučne na implementáciu projektu v jeho pôvodne dohodnutom rozsahu. </w:t>
      </w:r>
    </w:p>
    <w:p w14:paraId="62021FF5" w14:textId="3F9297E3" w:rsidR="00D64E5A" w:rsidRPr="00045F6B" w:rsidRDefault="00D64E5A" w:rsidP="00113300">
      <w:pPr>
        <w:jc w:val="both"/>
      </w:pPr>
    </w:p>
    <w:p w14:paraId="39862D3E" w14:textId="77777777" w:rsidR="00BC3566" w:rsidRPr="00045F6B" w:rsidRDefault="00BC3566" w:rsidP="00BC3566">
      <w:pPr>
        <w:jc w:val="center"/>
      </w:pPr>
      <w:proofErr w:type="spellStart"/>
      <w:r w:rsidRPr="00045F6B">
        <w:t>xxx</w:t>
      </w:r>
      <w:proofErr w:type="spellEnd"/>
    </w:p>
    <w:p w14:paraId="05BA7764" w14:textId="02882388" w:rsidR="00A4106D" w:rsidRPr="00045F6B" w:rsidRDefault="00A4106D" w:rsidP="00BC3566">
      <w:pPr>
        <w:jc w:val="both"/>
        <w:rPr>
          <w:b/>
        </w:rPr>
      </w:pPr>
      <w:r w:rsidRPr="00045F6B">
        <w:rPr>
          <w:b/>
        </w:rPr>
        <w:lastRenderedPageBreak/>
        <w:t xml:space="preserve">Na pridelenie dodatočných finančných prostriedkov sa môžu kvalifikovať len projekty, </w:t>
      </w:r>
      <w:r w:rsidR="00735FAF" w:rsidRPr="00045F6B">
        <w:rPr>
          <w:b/>
        </w:rPr>
        <w:t>o ktorých Výberová komisia rozhodla, že splnili</w:t>
      </w:r>
      <w:r w:rsidRPr="00045F6B">
        <w:rPr>
          <w:b/>
        </w:rPr>
        <w:t xml:space="preserve"> všetky relevantné kritériá! </w:t>
      </w:r>
    </w:p>
    <w:p w14:paraId="018DDCFD" w14:textId="776A60E1" w:rsidR="00A4106D" w:rsidRPr="00045F6B" w:rsidRDefault="00A4106D" w:rsidP="00BC3566">
      <w:pPr>
        <w:jc w:val="both"/>
      </w:pPr>
      <w:r w:rsidRPr="00045F6B">
        <w:t xml:space="preserve">Žiadosť o dodatočnú podporu musí byť predložená najneskôr do </w:t>
      </w:r>
      <w:r w:rsidR="007874BA" w:rsidRPr="00045F6B">
        <w:t>30</w:t>
      </w:r>
      <w:r w:rsidRPr="00045F6B">
        <w:t>.</w:t>
      </w:r>
      <w:r w:rsidR="00735FAF" w:rsidRPr="00045F6B">
        <w:t xml:space="preserve"> 9</w:t>
      </w:r>
      <w:r w:rsidRPr="00045F6B">
        <w:t>.</w:t>
      </w:r>
      <w:r w:rsidR="00735FAF" w:rsidRPr="00045F6B">
        <w:t xml:space="preserve"> </w:t>
      </w:r>
      <w:r w:rsidRPr="00045F6B">
        <w:t>201</w:t>
      </w:r>
      <w:r w:rsidR="00D152EA" w:rsidRPr="00045F6B">
        <w:t>6</w:t>
      </w:r>
      <w:r w:rsidRPr="00045F6B">
        <w:t xml:space="preserve"> na predpísanom formulári vypracovanom správcom programu. Dodatočné finančné prostriedky musia byť použité najneskôr do 30.4.2017. Výška finančných prostriedkov disponibilná k prerozdeleniu medzi projekty je </w:t>
      </w:r>
      <w:r w:rsidR="001442C2" w:rsidRPr="00045F6B">
        <w:t xml:space="preserve"> 1 506 510</w:t>
      </w:r>
      <w:r w:rsidRPr="00045F6B">
        <w:t xml:space="preserve"> eur. </w:t>
      </w:r>
    </w:p>
    <w:p w14:paraId="0E619571" w14:textId="6D969134" w:rsidR="00A4106D" w:rsidRPr="00045F6B" w:rsidRDefault="00A4106D" w:rsidP="00BC3566">
      <w:pPr>
        <w:jc w:val="both"/>
      </w:pPr>
      <w:r w:rsidRPr="00045F6B">
        <w:t xml:space="preserve">Objem dodatočne pridelených finančných prostriedkov musí zodpovedať mesačnému priemeru miezd, prevádzkových </w:t>
      </w:r>
      <w:r w:rsidR="00B30D33" w:rsidRPr="00045F6B">
        <w:t>nákladov</w:t>
      </w:r>
      <w:r w:rsidRPr="00045F6B">
        <w:t xml:space="preserve"> a ďalších nákladov </w:t>
      </w:r>
      <w:r w:rsidRPr="00045F6B">
        <w:rPr>
          <w:b/>
        </w:rPr>
        <w:t>súvisiacich s dodatočnými aktivitami prispievajúcimi k cieľom projektu</w:t>
      </w:r>
      <w:r w:rsidRPr="00045F6B">
        <w:t xml:space="preserve">. Vo všeobecnosti Prijímateľ môže </w:t>
      </w:r>
      <w:r w:rsidR="00DC0ACB" w:rsidRPr="00045F6B">
        <w:t>na zák</w:t>
      </w:r>
      <w:r w:rsidRPr="00045F6B">
        <w:t>l</w:t>
      </w:r>
      <w:r w:rsidR="00DC0ACB" w:rsidRPr="00045F6B">
        <w:t>a</w:t>
      </w:r>
      <w:r w:rsidRPr="00045F6B">
        <w:t xml:space="preserve">de aktuálnych potrieb projektu navrhnúť akékoľvek dodatočné </w:t>
      </w:r>
      <w:r w:rsidR="00DC0ACB" w:rsidRPr="00045F6B">
        <w:t>ak</w:t>
      </w:r>
      <w:r w:rsidRPr="00045F6B">
        <w:t xml:space="preserve">tivity za predpokladu, že tieto </w:t>
      </w:r>
      <w:r w:rsidR="00DC0ACB" w:rsidRPr="00045F6B">
        <w:t>ak</w:t>
      </w:r>
      <w:r w:rsidRPr="00045F6B">
        <w:t xml:space="preserve">tivity prispejú k cieľom projektu. Výška dodatočne pridelených finančných prostriedkov správcom programu však nesmie byť vyššia </w:t>
      </w:r>
      <w:r w:rsidR="00DC0ACB" w:rsidRPr="00045F6B">
        <w:t>ako suma projektového grantu zodpovedajú ročnému priemeru miezd, prevádzkových nákladov, nákladov na riadenie a ďalších nákladov priamo súvisiacich s prevádzkou BŽD/poradenského centra, zvýšená o 25%</w:t>
      </w:r>
    </w:p>
    <w:p w14:paraId="7743096B" w14:textId="6E4B48C7" w:rsidR="003A3C77" w:rsidRPr="00045F6B" w:rsidRDefault="00DC0ACB" w:rsidP="00BC3566">
      <w:pPr>
        <w:jc w:val="both"/>
        <w:rPr>
          <w:b/>
        </w:rPr>
      </w:pPr>
      <w:r w:rsidRPr="00045F6B">
        <w:rPr>
          <w:b/>
        </w:rPr>
        <w:t>VZOREC</w:t>
      </w:r>
    </w:p>
    <w:p w14:paraId="7B1295AA" w14:textId="1DA57EC4" w:rsidR="003A3C77" w:rsidRPr="00045F6B" w:rsidRDefault="00441D9E" w:rsidP="003A3C77">
      <w:pPr>
        <w:jc w:val="center"/>
      </w:pPr>
      <w:r w:rsidRPr="00045F6B">
        <w:t>MODFP</w:t>
      </w:r>
      <w:r w:rsidR="003A3C77" w:rsidRPr="00045F6B">
        <w:t xml:space="preserve"> = </w:t>
      </w:r>
      <w:r w:rsidRPr="00045F6B">
        <w:t>MP * 12 * GM</w:t>
      </w:r>
      <w:r w:rsidR="003A3C77" w:rsidRPr="00045F6B">
        <w:t xml:space="preserve"> *1,25</w:t>
      </w:r>
    </w:p>
    <w:p w14:paraId="13048276" w14:textId="5D0097F0" w:rsidR="003A3C77" w:rsidRPr="00045F6B" w:rsidRDefault="003A3C77" w:rsidP="00BC3566">
      <w:pPr>
        <w:jc w:val="both"/>
      </w:pPr>
      <w:r w:rsidRPr="00045F6B">
        <w:t>M</w:t>
      </w:r>
      <w:r w:rsidR="00441D9E" w:rsidRPr="00045F6B">
        <w:t>ODFP  = maximálny objem dodatočne pridelených finančných prostriedkov</w:t>
      </w:r>
      <w:r w:rsidRPr="00045F6B">
        <w:t xml:space="preserve"> </w:t>
      </w:r>
    </w:p>
    <w:p w14:paraId="0FFC2F8A" w14:textId="49B50639" w:rsidR="003A3C77" w:rsidRPr="00045F6B" w:rsidRDefault="00441D9E" w:rsidP="00BC3566">
      <w:pPr>
        <w:jc w:val="both"/>
      </w:pPr>
      <w:r w:rsidRPr="00045F6B">
        <w:t>MP</w:t>
      </w:r>
      <w:r w:rsidR="003A3C77" w:rsidRPr="00045F6B">
        <w:t xml:space="preserve"> = </w:t>
      </w:r>
      <w:r w:rsidRPr="00045F6B">
        <w:t xml:space="preserve">mesačný priemer </w:t>
      </w:r>
      <w:r w:rsidR="00FA30F0" w:rsidRPr="00045F6B">
        <w:t>miezd</w:t>
      </w:r>
      <w:r w:rsidRPr="00045F6B">
        <w:t xml:space="preserve">, nákladov na riadenie, prevádzkových nákladov a ďalších nákladov súvisiacich s prevádzkou BŽD/poradenského centra </w:t>
      </w:r>
    </w:p>
    <w:p w14:paraId="270589D3" w14:textId="7C089168" w:rsidR="003A3C77" w:rsidRPr="00045F6B" w:rsidRDefault="003A3C77" w:rsidP="00BC3566">
      <w:pPr>
        <w:jc w:val="both"/>
      </w:pPr>
      <w:r w:rsidRPr="00045F6B">
        <w:t>G</w:t>
      </w:r>
      <w:r w:rsidR="00441D9E" w:rsidRPr="00045F6B">
        <w:t>M</w:t>
      </w:r>
      <w:r w:rsidRPr="00045F6B">
        <w:t xml:space="preserve"> – </w:t>
      </w:r>
      <w:r w:rsidR="00441D9E" w:rsidRPr="00045F6B">
        <w:t>Grantová miera</w:t>
      </w:r>
    </w:p>
    <w:p w14:paraId="00F1865A" w14:textId="7CC9FE94" w:rsidR="003A3C77" w:rsidRPr="00045F6B" w:rsidRDefault="00441D9E" w:rsidP="00BC3566">
      <w:pPr>
        <w:jc w:val="both"/>
      </w:pPr>
      <w:r w:rsidRPr="00045F6B">
        <w:t xml:space="preserve">S cieľom zjednodušiť celý </w:t>
      </w:r>
      <w:r w:rsidR="00FA30F0" w:rsidRPr="00045F6B">
        <w:t>proces</w:t>
      </w:r>
      <w:r w:rsidRPr="00045F6B">
        <w:t xml:space="preserve"> môže Správca programu ako základ zaslať </w:t>
      </w:r>
      <w:r w:rsidR="00FA30F0" w:rsidRPr="00045F6B">
        <w:t>prijímateľovi</w:t>
      </w:r>
      <w:r w:rsidRPr="00045F6B">
        <w:t xml:space="preserve"> aktuálny rozpočet projektu. Správca programu môže pritom upraviť mesačný priemer pre určitý </w:t>
      </w:r>
      <w:r w:rsidR="00FA30F0" w:rsidRPr="00045F6B">
        <w:t>projekt</w:t>
      </w:r>
      <w:r w:rsidRPr="00045F6B">
        <w:t xml:space="preserve"> tak, aby bolo zabezpečené férové prerozdelenie finančných prostriedkov, udržateľnosť projektu ako aj osobitné potreby projektu, ak je to relevantné. </w:t>
      </w:r>
    </w:p>
    <w:p w14:paraId="3A9FAC7F" w14:textId="23929C8B" w:rsidR="00441D9E" w:rsidRPr="00045F6B" w:rsidRDefault="00441D9E" w:rsidP="00441D9E">
      <w:pPr>
        <w:jc w:val="center"/>
        <w:rPr>
          <w:b/>
        </w:rPr>
      </w:pPr>
      <w:proofErr w:type="spellStart"/>
      <w:r w:rsidRPr="00045F6B">
        <w:rPr>
          <w:b/>
        </w:rPr>
        <w:t>xxx</w:t>
      </w:r>
      <w:proofErr w:type="spellEnd"/>
    </w:p>
    <w:p w14:paraId="1AA952D0" w14:textId="410B9FE1" w:rsidR="00441D9E" w:rsidRPr="00045F6B" w:rsidRDefault="00441D9E" w:rsidP="00BC3566">
      <w:pPr>
        <w:jc w:val="both"/>
      </w:pPr>
      <w:r w:rsidRPr="00045F6B">
        <w:t>Pri prijímaní odporúčani</w:t>
      </w:r>
      <w:r w:rsidR="00B60B76" w:rsidRPr="00045F6B">
        <w:t>a</w:t>
      </w:r>
      <w:r w:rsidRPr="00045F6B">
        <w:t xml:space="preserve"> k prideleniu dodatočných prostriedkov výberová</w:t>
      </w:r>
      <w:r w:rsidR="00B30D33" w:rsidRPr="00045F6B">
        <w:t xml:space="preserve"> </w:t>
      </w:r>
      <w:r w:rsidRPr="00045F6B">
        <w:t>komisia posúdi nasledovné kritériá pri tých projektoch, ktoré sa kvalifikovali. Tieto kritériá sú ďalej v texte označené ako bodovacie kritériá.</w:t>
      </w:r>
      <w:r w:rsidR="007874BA" w:rsidRPr="00045F6B">
        <w:t xml:space="preserve"> Najprv sa posudzujú projekty z výziev DGV02 a DGV03. V prípade dostatku finančných prostriedkov budú posúdené aj žiadosti projektov z výzvy DGBV01.</w:t>
      </w:r>
    </w:p>
    <w:p w14:paraId="34CF0EBC" w14:textId="2AC55C1A" w:rsidR="00441D9E" w:rsidRPr="00045F6B" w:rsidRDefault="00441D9E" w:rsidP="00441D9E">
      <w:pPr>
        <w:jc w:val="both"/>
      </w:pPr>
      <w:r w:rsidRPr="00045F6B">
        <w:rPr>
          <w:b/>
        </w:rPr>
        <w:t>1. Súlad s minimálnymi štandardmi Rady Európy, na základe monitorovania vykonaného Koordinačno-metodickým centr</w:t>
      </w:r>
      <w:r w:rsidR="00B60B76" w:rsidRPr="00045F6B">
        <w:rPr>
          <w:b/>
        </w:rPr>
        <w:t>o</w:t>
      </w:r>
      <w:r w:rsidRPr="00045F6B">
        <w:rPr>
          <w:b/>
        </w:rPr>
        <w:t xml:space="preserve">m. </w:t>
      </w:r>
      <w:r w:rsidRPr="00045F6B">
        <w:t>Preferujú sa údaje z roku 201</w:t>
      </w:r>
      <w:r w:rsidR="001442C2" w:rsidRPr="00045F6B">
        <w:t>6</w:t>
      </w:r>
      <w:r w:rsidRPr="00045F6B">
        <w:t>.</w:t>
      </w:r>
      <w:r w:rsidRPr="00045F6B">
        <w:rPr>
          <w:b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02"/>
      </w:tblGrid>
      <w:tr w:rsidR="00665DA3" w:rsidRPr="00045F6B" w14:paraId="1A57E6B2" w14:textId="77777777" w:rsidTr="00B12F82">
        <w:trPr>
          <w:trHeight w:val="598"/>
        </w:trPr>
        <w:tc>
          <w:tcPr>
            <w:tcW w:w="3510" w:type="dxa"/>
            <w:vAlign w:val="center"/>
          </w:tcPr>
          <w:p w14:paraId="0FFAA424" w14:textId="406D9035" w:rsidR="00480C26" w:rsidRPr="00045F6B" w:rsidRDefault="00480C26" w:rsidP="00B60B76">
            <w:pPr>
              <w:jc w:val="center"/>
              <w:rPr>
                <w:b/>
              </w:rPr>
            </w:pPr>
            <w:r w:rsidRPr="00045F6B">
              <w:t xml:space="preserve"> </w:t>
            </w:r>
            <w:r w:rsidR="00441D9E" w:rsidRPr="00045F6B">
              <w:rPr>
                <w:b/>
              </w:rPr>
              <w:t>Percento súlad</w:t>
            </w:r>
            <w:r w:rsidR="00B60B76" w:rsidRPr="00045F6B">
              <w:rPr>
                <w:b/>
              </w:rPr>
              <w:t>u</w:t>
            </w:r>
            <w:r w:rsidR="00441D9E" w:rsidRPr="00045F6B">
              <w:rPr>
                <w:b/>
              </w:rPr>
              <w:t xml:space="preserve"> s minimálnymi štandardmi RE</w:t>
            </w:r>
          </w:p>
        </w:tc>
        <w:tc>
          <w:tcPr>
            <w:tcW w:w="2268" w:type="dxa"/>
            <w:vAlign w:val="center"/>
          </w:tcPr>
          <w:p w14:paraId="1D77A716" w14:textId="41FAEE38" w:rsidR="00480C26" w:rsidRPr="00045F6B" w:rsidRDefault="00441D9E" w:rsidP="007D779D">
            <w:pPr>
              <w:jc w:val="center"/>
              <w:rPr>
                <w:b/>
              </w:rPr>
            </w:pPr>
            <w:r w:rsidRPr="00045F6B">
              <w:rPr>
                <w:b/>
              </w:rPr>
              <w:t>Body</w:t>
            </w:r>
          </w:p>
        </w:tc>
        <w:tc>
          <w:tcPr>
            <w:tcW w:w="3402" w:type="dxa"/>
            <w:vAlign w:val="center"/>
          </w:tcPr>
          <w:p w14:paraId="5899AB92" w14:textId="39391214" w:rsidR="00480C26" w:rsidRPr="00045F6B" w:rsidRDefault="00441D9E" w:rsidP="007D779D">
            <w:pPr>
              <w:jc w:val="center"/>
              <w:rPr>
                <w:b/>
              </w:rPr>
            </w:pPr>
            <w:r w:rsidRPr="00045F6B">
              <w:rPr>
                <w:b/>
              </w:rPr>
              <w:t>Poznámky</w:t>
            </w:r>
          </w:p>
        </w:tc>
      </w:tr>
      <w:tr w:rsidR="00665DA3" w:rsidRPr="00045F6B" w14:paraId="4275E385" w14:textId="77777777" w:rsidTr="00B12F82">
        <w:trPr>
          <w:trHeight w:val="598"/>
        </w:trPr>
        <w:tc>
          <w:tcPr>
            <w:tcW w:w="3510" w:type="dxa"/>
            <w:vAlign w:val="center"/>
          </w:tcPr>
          <w:p w14:paraId="3939E84C" w14:textId="75903FA2" w:rsidR="00480C26" w:rsidRPr="00045F6B" w:rsidRDefault="00480C26" w:rsidP="00B12F82">
            <w:r w:rsidRPr="00045F6B">
              <w:t>95% - 100%</w:t>
            </w:r>
          </w:p>
        </w:tc>
        <w:tc>
          <w:tcPr>
            <w:tcW w:w="2268" w:type="dxa"/>
            <w:vAlign w:val="center"/>
          </w:tcPr>
          <w:p w14:paraId="7D9176D5" w14:textId="39E60D5B" w:rsidR="00480C26" w:rsidRPr="00045F6B" w:rsidRDefault="00480C26" w:rsidP="007D779D">
            <w:pPr>
              <w:jc w:val="center"/>
            </w:pPr>
            <w:r w:rsidRPr="00045F6B">
              <w:t>10</w:t>
            </w:r>
          </w:p>
        </w:tc>
        <w:tc>
          <w:tcPr>
            <w:tcW w:w="3402" w:type="dxa"/>
            <w:vAlign w:val="center"/>
          </w:tcPr>
          <w:p w14:paraId="58F1772D" w14:textId="77777777" w:rsidR="00480C26" w:rsidRPr="00045F6B" w:rsidRDefault="00480C26" w:rsidP="007D779D">
            <w:pPr>
              <w:jc w:val="center"/>
            </w:pPr>
          </w:p>
        </w:tc>
      </w:tr>
      <w:tr w:rsidR="00665DA3" w:rsidRPr="00045F6B" w14:paraId="2C87499B" w14:textId="77777777" w:rsidTr="00B12F82">
        <w:trPr>
          <w:trHeight w:val="598"/>
        </w:trPr>
        <w:tc>
          <w:tcPr>
            <w:tcW w:w="3510" w:type="dxa"/>
            <w:vAlign w:val="center"/>
          </w:tcPr>
          <w:p w14:paraId="3FA64DEB" w14:textId="40B47AC0" w:rsidR="00480C26" w:rsidRPr="00045F6B" w:rsidRDefault="00480C26" w:rsidP="00B12F82">
            <w:r w:rsidRPr="00045F6B">
              <w:t>90</w:t>
            </w:r>
            <w:r w:rsidR="006C69B0" w:rsidRPr="00045F6B">
              <w:t>%</w:t>
            </w:r>
            <w:r w:rsidRPr="00045F6B">
              <w:t xml:space="preserve"> – 95%</w:t>
            </w:r>
          </w:p>
        </w:tc>
        <w:tc>
          <w:tcPr>
            <w:tcW w:w="2268" w:type="dxa"/>
            <w:vAlign w:val="center"/>
          </w:tcPr>
          <w:p w14:paraId="6A07F9B9" w14:textId="46D79275" w:rsidR="00480C26" w:rsidRPr="00045F6B" w:rsidRDefault="006C69B0" w:rsidP="007D779D">
            <w:pPr>
              <w:jc w:val="center"/>
            </w:pPr>
            <w:r w:rsidRPr="00045F6B">
              <w:t>8</w:t>
            </w:r>
          </w:p>
        </w:tc>
        <w:tc>
          <w:tcPr>
            <w:tcW w:w="3402" w:type="dxa"/>
            <w:vAlign w:val="center"/>
          </w:tcPr>
          <w:p w14:paraId="4D3CB20C" w14:textId="77777777" w:rsidR="00480C26" w:rsidRPr="00045F6B" w:rsidRDefault="00480C26" w:rsidP="007D779D">
            <w:pPr>
              <w:jc w:val="center"/>
            </w:pPr>
          </w:p>
        </w:tc>
      </w:tr>
      <w:tr w:rsidR="00665DA3" w:rsidRPr="00045F6B" w14:paraId="269F8E0F" w14:textId="77777777" w:rsidTr="00CB69FD">
        <w:trPr>
          <w:trHeight w:val="598"/>
        </w:trPr>
        <w:tc>
          <w:tcPr>
            <w:tcW w:w="3510" w:type="dxa"/>
            <w:vAlign w:val="center"/>
          </w:tcPr>
          <w:p w14:paraId="71226D2C" w14:textId="3155B95A" w:rsidR="006C69B0" w:rsidRPr="00045F6B" w:rsidRDefault="006C69B0" w:rsidP="00B12F82">
            <w:r w:rsidRPr="00045F6B">
              <w:lastRenderedPageBreak/>
              <w:t>85% – 90%</w:t>
            </w:r>
          </w:p>
        </w:tc>
        <w:tc>
          <w:tcPr>
            <w:tcW w:w="2268" w:type="dxa"/>
            <w:vAlign w:val="center"/>
          </w:tcPr>
          <w:p w14:paraId="50C32F63" w14:textId="1C9D5CCC" w:rsidR="006C69B0" w:rsidRPr="00045F6B" w:rsidRDefault="006C69B0" w:rsidP="007D779D">
            <w:pPr>
              <w:jc w:val="center"/>
            </w:pPr>
            <w:r w:rsidRPr="00045F6B">
              <w:t>6</w:t>
            </w:r>
          </w:p>
        </w:tc>
        <w:tc>
          <w:tcPr>
            <w:tcW w:w="3402" w:type="dxa"/>
            <w:vAlign w:val="center"/>
          </w:tcPr>
          <w:p w14:paraId="6AFDD349" w14:textId="77777777" w:rsidR="006C69B0" w:rsidRPr="00045F6B" w:rsidRDefault="006C69B0" w:rsidP="007D779D">
            <w:pPr>
              <w:jc w:val="center"/>
            </w:pPr>
          </w:p>
        </w:tc>
      </w:tr>
      <w:tr w:rsidR="00665DA3" w:rsidRPr="00045F6B" w14:paraId="39D6B58A" w14:textId="77777777" w:rsidTr="00CB69FD">
        <w:trPr>
          <w:trHeight w:val="598"/>
        </w:trPr>
        <w:tc>
          <w:tcPr>
            <w:tcW w:w="3510" w:type="dxa"/>
            <w:vAlign w:val="center"/>
          </w:tcPr>
          <w:p w14:paraId="521996B6" w14:textId="5BFDC404" w:rsidR="006C69B0" w:rsidRPr="00045F6B" w:rsidRDefault="006C69B0" w:rsidP="00B12F82">
            <w:r w:rsidRPr="00045F6B">
              <w:t>80% - 85%</w:t>
            </w:r>
          </w:p>
        </w:tc>
        <w:tc>
          <w:tcPr>
            <w:tcW w:w="2268" w:type="dxa"/>
            <w:vAlign w:val="center"/>
          </w:tcPr>
          <w:p w14:paraId="3AB7A5F9" w14:textId="62BD29FC" w:rsidR="006C69B0" w:rsidRPr="00045F6B" w:rsidRDefault="006C69B0" w:rsidP="007D779D">
            <w:pPr>
              <w:jc w:val="center"/>
            </w:pPr>
            <w:r w:rsidRPr="00045F6B">
              <w:t>4</w:t>
            </w:r>
          </w:p>
        </w:tc>
        <w:tc>
          <w:tcPr>
            <w:tcW w:w="3402" w:type="dxa"/>
            <w:vAlign w:val="center"/>
          </w:tcPr>
          <w:p w14:paraId="326723D7" w14:textId="77777777" w:rsidR="006C69B0" w:rsidRPr="00045F6B" w:rsidRDefault="006C69B0" w:rsidP="007D779D">
            <w:pPr>
              <w:jc w:val="center"/>
            </w:pPr>
          </w:p>
        </w:tc>
      </w:tr>
      <w:tr w:rsidR="00665DA3" w:rsidRPr="00045F6B" w14:paraId="56139570" w14:textId="77777777" w:rsidTr="00CB69FD">
        <w:trPr>
          <w:trHeight w:val="598"/>
        </w:trPr>
        <w:tc>
          <w:tcPr>
            <w:tcW w:w="3510" w:type="dxa"/>
            <w:vAlign w:val="center"/>
          </w:tcPr>
          <w:p w14:paraId="7CFF3F14" w14:textId="66D5F569" w:rsidR="006C69B0" w:rsidRPr="00045F6B" w:rsidRDefault="006C69B0" w:rsidP="00B12F82">
            <w:r w:rsidRPr="00045F6B">
              <w:t>75% - 80%</w:t>
            </w:r>
          </w:p>
        </w:tc>
        <w:tc>
          <w:tcPr>
            <w:tcW w:w="2268" w:type="dxa"/>
            <w:vAlign w:val="center"/>
          </w:tcPr>
          <w:p w14:paraId="6723DB33" w14:textId="31DBCFDC" w:rsidR="006C69B0" w:rsidRPr="00045F6B" w:rsidRDefault="006C69B0" w:rsidP="007D779D">
            <w:pPr>
              <w:jc w:val="center"/>
            </w:pPr>
            <w:r w:rsidRPr="00045F6B">
              <w:t>2</w:t>
            </w:r>
          </w:p>
        </w:tc>
        <w:tc>
          <w:tcPr>
            <w:tcW w:w="3402" w:type="dxa"/>
            <w:vAlign w:val="center"/>
          </w:tcPr>
          <w:p w14:paraId="659D13F5" w14:textId="77777777" w:rsidR="006C69B0" w:rsidRPr="00045F6B" w:rsidRDefault="006C69B0" w:rsidP="007D779D">
            <w:pPr>
              <w:jc w:val="center"/>
            </w:pPr>
          </w:p>
        </w:tc>
      </w:tr>
      <w:tr w:rsidR="006C69B0" w:rsidRPr="00045F6B" w14:paraId="704E8759" w14:textId="77777777" w:rsidTr="00CB69FD">
        <w:trPr>
          <w:trHeight w:val="598"/>
        </w:trPr>
        <w:tc>
          <w:tcPr>
            <w:tcW w:w="3510" w:type="dxa"/>
            <w:vAlign w:val="center"/>
          </w:tcPr>
          <w:p w14:paraId="3CA40B71" w14:textId="103DA7FD" w:rsidR="006C69B0" w:rsidRPr="00045F6B" w:rsidRDefault="00441D9E" w:rsidP="00441D9E">
            <w:r w:rsidRPr="00045F6B">
              <w:t>Menej ako</w:t>
            </w:r>
            <w:r w:rsidR="006C69B0" w:rsidRPr="00045F6B">
              <w:t xml:space="preserve"> 75</w:t>
            </w:r>
            <w:r w:rsidRPr="00045F6B">
              <w:t>%</w:t>
            </w:r>
          </w:p>
        </w:tc>
        <w:tc>
          <w:tcPr>
            <w:tcW w:w="2268" w:type="dxa"/>
            <w:vAlign w:val="center"/>
          </w:tcPr>
          <w:p w14:paraId="7C57C0C5" w14:textId="3C81B9D3" w:rsidR="006C69B0" w:rsidRPr="00045F6B" w:rsidRDefault="006C69B0" w:rsidP="007D779D">
            <w:pPr>
              <w:jc w:val="center"/>
            </w:pPr>
            <w:r w:rsidRPr="00045F6B">
              <w:t>0</w:t>
            </w:r>
          </w:p>
        </w:tc>
        <w:tc>
          <w:tcPr>
            <w:tcW w:w="3402" w:type="dxa"/>
            <w:vAlign w:val="center"/>
          </w:tcPr>
          <w:p w14:paraId="4D8B33C9" w14:textId="5CAC70F7" w:rsidR="006C69B0" w:rsidRPr="00045F6B" w:rsidRDefault="00441D9E" w:rsidP="00441D9E">
            <w:pPr>
              <w:jc w:val="center"/>
            </w:pPr>
            <w:r w:rsidRPr="00045F6B">
              <w:t xml:space="preserve">Výberová komisia by nemala </w:t>
            </w:r>
            <w:r w:rsidR="00FA30F0" w:rsidRPr="00045F6B">
              <w:t>projekt</w:t>
            </w:r>
            <w:r w:rsidRPr="00045F6B">
              <w:t xml:space="preserve"> odporučiť na pridelenie dodatočných finančných prostriedkov </w:t>
            </w:r>
          </w:p>
        </w:tc>
      </w:tr>
    </w:tbl>
    <w:p w14:paraId="58C1E5E4" w14:textId="77777777" w:rsidR="006C69B0" w:rsidRPr="00045F6B" w:rsidRDefault="006C69B0" w:rsidP="00BC3566">
      <w:pPr>
        <w:jc w:val="both"/>
      </w:pPr>
    </w:p>
    <w:p w14:paraId="02FA0B0B" w14:textId="77777777" w:rsidR="00B12F82" w:rsidRPr="00045F6B" w:rsidRDefault="00B12F82" w:rsidP="00BC3566">
      <w:pPr>
        <w:jc w:val="both"/>
      </w:pPr>
    </w:p>
    <w:p w14:paraId="17CC9C7D" w14:textId="36D8AA82" w:rsidR="006C69B0" w:rsidRPr="00045F6B" w:rsidRDefault="007D779D" w:rsidP="00BC3566">
      <w:pPr>
        <w:jc w:val="both"/>
        <w:rPr>
          <w:b/>
        </w:rPr>
      </w:pPr>
      <w:r w:rsidRPr="00045F6B">
        <w:rPr>
          <w:b/>
        </w:rPr>
        <w:t>2</w:t>
      </w:r>
      <w:r w:rsidR="00480C26" w:rsidRPr="00045F6B">
        <w:rPr>
          <w:b/>
        </w:rPr>
        <w:t xml:space="preserve">. </w:t>
      </w:r>
      <w:r w:rsidR="00441D9E" w:rsidRPr="00045F6B">
        <w:rPr>
          <w:b/>
        </w:rPr>
        <w:t>Nevyhnutnosť dodatočného financovania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02"/>
      </w:tblGrid>
      <w:tr w:rsidR="00665DA3" w:rsidRPr="00045F6B" w14:paraId="2B7BA136" w14:textId="77777777" w:rsidTr="007D779D">
        <w:trPr>
          <w:trHeight w:val="708"/>
        </w:trPr>
        <w:tc>
          <w:tcPr>
            <w:tcW w:w="3510" w:type="dxa"/>
            <w:vAlign w:val="center"/>
          </w:tcPr>
          <w:p w14:paraId="73264D02" w14:textId="1B6DF6FC" w:rsidR="006C69B0" w:rsidRPr="00045F6B" w:rsidRDefault="00480C26" w:rsidP="00441D9E">
            <w:pPr>
              <w:rPr>
                <w:b/>
              </w:rPr>
            </w:pPr>
            <w:r w:rsidRPr="00045F6B">
              <w:t xml:space="preserve"> </w:t>
            </w:r>
            <w:r w:rsidR="00441D9E" w:rsidRPr="00045F6B">
              <w:rPr>
                <w:b/>
              </w:rPr>
              <w:t>Nevyhnutnosť financovania</w:t>
            </w:r>
          </w:p>
        </w:tc>
        <w:tc>
          <w:tcPr>
            <w:tcW w:w="2268" w:type="dxa"/>
            <w:vAlign w:val="center"/>
          </w:tcPr>
          <w:p w14:paraId="1F653A78" w14:textId="3C1AF7B0" w:rsidR="006C69B0" w:rsidRPr="00045F6B" w:rsidRDefault="00441D9E" w:rsidP="007D779D">
            <w:pPr>
              <w:jc w:val="center"/>
              <w:rPr>
                <w:b/>
              </w:rPr>
            </w:pPr>
            <w:r w:rsidRPr="00045F6B">
              <w:rPr>
                <w:b/>
              </w:rPr>
              <w:t>Body</w:t>
            </w:r>
          </w:p>
        </w:tc>
        <w:tc>
          <w:tcPr>
            <w:tcW w:w="3402" w:type="dxa"/>
            <w:vAlign w:val="center"/>
          </w:tcPr>
          <w:p w14:paraId="0980C113" w14:textId="2D86E68B" w:rsidR="006C69B0" w:rsidRPr="00045F6B" w:rsidRDefault="00441D9E" w:rsidP="007D779D">
            <w:pPr>
              <w:rPr>
                <w:b/>
              </w:rPr>
            </w:pPr>
            <w:r w:rsidRPr="00045F6B">
              <w:rPr>
                <w:b/>
              </w:rPr>
              <w:t>Poznámky</w:t>
            </w:r>
          </w:p>
        </w:tc>
      </w:tr>
      <w:tr w:rsidR="00665DA3" w:rsidRPr="00045F6B" w14:paraId="0393EAAC" w14:textId="77777777" w:rsidTr="007D779D">
        <w:tc>
          <w:tcPr>
            <w:tcW w:w="3510" w:type="dxa"/>
            <w:vAlign w:val="center"/>
          </w:tcPr>
          <w:p w14:paraId="40E46E02" w14:textId="5677903D" w:rsidR="00441D9E" w:rsidRPr="00045F6B" w:rsidRDefault="00441D9E" w:rsidP="007D779D">
            <w:r w:rsidRPr="00045F6B">
              <w:t xml:space="preserve">Dodatočné financovanie je pre </w:t>
            </w:r>
            <w:r w:rsidR="00A94E48" w:rsidRPr="00045F6B">
              <w:t xml:space="preserve">projekt </w:t>
            </w:r>
            <w:r w:rsidRPr="00045F6B">
              <w:t xml:space="preserve">absolútne nevyhnutné </w:t>
            </w:r>
          </w:p>
        </w:tc>
        <w:tc>
          <w:tcPr>
            <w:tcW w:w="2268" w:type="dxa"/>
            <w:vAlign w:val="center"/>
          </w:tcPr>
          <w:p w14:paraId="165D10F4" w14:textId="77777777" w:rsidR="00441D9E" w:rsidRPr="00045F6B" w:rsidRDefault="00441D9E" w:rsidP="007D779D">
            <w:pPr>
              <w:jc w:val="center"/>
            </w:pPr>
            <w:r w:rsidRPr="00045F6B">
              <w:t>10</w:t>
            </w:r>
          </w:p>
        </w:tc>
        <w:tc>
          <w:tcPr>
            <w:tcW w:w="3402" w:type="dxa"/>
            <w:vAlign w:val="center"/>
          </w:tcPr>
          <w:p w14:paraId="0B602C66" w14:textId="7A73F6D3" w:rsidR="00441D9E" w:rsidRPr="00045F6B" w:rsidRDefault="00441D9E" w:rsidP="00A94E48">
            <w:r w:rsidRPr="00045F6B">
              <w:t>BŽD/centrum nezískalo alebo pravdepodobne nezíska žiadne finan</w:t>
            </w:r>
            <w:r w:rsidR="00A94E48" w:rsidRPr="00045F6B">
              <w:t>čné prostriedky z iných zdrojov</w:t>
            </w:r>
          </w:p>
        </w:tc>
      </w:tr>
      <w:tr w:rsidR="00665DA3" w:rsidRPr="00045F6B" w14:paraId="5FE54A77" w14:textId="77777777" w:rsidTr="007D779D">
        <w:tc>
          <w:tcPr>
            <w:tcW w:w="3510" w:type="dxa"/>
            <w:vAlign w:val="center"/>
          </w:tcPr>
          <w:p w14:paraId="5C9E8301" w14:textId="538926EC" w:rsidR="00A94E48" w:rsidRPr="00045F6B" w:rsidRDefault="00A94E48" w:rsidP="00A94E48">
            <w:r w:rsidRPr="00045F6B">
              <w:t xml:space="preserve">Dodatočné financovanie je pre projekt podstatné </w:t>
            </w:r>
          </w:p>
        </w:tc>
        <w:tc>
          <w:tcPr>
            <w:tcW w:w="2268" w:type="dxa"/>
            <w:vAlign w:val="center"/>
          </w:tcPr>
          <w:p w14:paraId="481491E2" w14:textId="0732081C" w:rsidR="00A94E48" w:rsidRPr="00045F6B" w:rsidRDefault="00A94E48" w:rsidP="007D779D">
            <w:pPr>
              <w:jc w:val="center"/>
            </w:pPr>
            <w:r w:rsidRPr="00045F6B">
              <w:t>6</w:t>
            </w:r>
          </w:p>
        </w:tc>
        <w:tc>
          <w:tcPr>
            <w:tcW w:w="3402" w:type="dxa"/>
            <w:vAlign w:val="center"/>
          </w:tcPr>
          <w:p w14:paraId="582D60BE" w14:textId="1DDE8825" w:rsidR="00A94E48" w:rsidRPr="00045F6B" w:rsidRDefault="00A94E48" w:rsidP="00A94E48">
            <w:r w:rsidRPr="00045F6B">
              <w:t xml:space="preserve">BŽD/centrum získalo alebo pravdepodobne získa určité finančné prostriedky z iných zdrojov, alebo tieto zdroje nepokryjú ani 25% </w:t>
            </w:r>
            <w:r w:rsidR="00FA30F0" w:rsidRPr="00045F6B">
              <w:t>prevádzkových</w:t>
            </w:r>
            <w:r w:rsidRPr="00045F6B">
              <w:t xml:space="preserve"> nákladov.</w:t>
            </w:r>
          </w:p>
        </w:tc>
      </w:tr>
      <w:tr w:rsidR="00665DA3" w:rsidRPr="00045F6B" w14:paraId="4BF2C15B" w14:textId="77777777" w:rsidTr="00CB69FD">
        <w:tc>
          <w:tcPr>
            <w:tcW w:w="3510" w:type="dxa"/>
            <w:vAlign w:val="center"/>
          </w:tcPr>
          <w:p w14:paraId="7A669137" w14:textId="551F2B74" w:rsidR="00A94E48" w:rsidRPr="00045F6B" w:rsidRDefault="00A94E48" w:rsidP="00A94E48">
            <w:r w:rsidRPr="00045F6B">
              <w:t xml:space="preserve">Dodatočné financovanie je pre projekt potrebné </w:t>
            </w:r>
          </w:p>
        </w:tc>
        <w:tc>
          <w:tcPr>
            <w:tcW w:w="2268" w:type="dxa"/>
            <w:vAlign w:val="center"/>
          </w:tcPr>
          <w:p w14:paraId="4BDDF0F4" w14:textId="00298E79" w:rsidR="00A94E48" w:rsidRPr="00045F6B" w:rsidRDefault="00A94E48" w:rsidP="007D779D">
            <w:pPr>
              <w:jc w:val="center"/>
            </w:pPr>
            <w:r w:rsidRPr="00045F6B">
              <w:t>4</w:t>
            </w:r>
          </w:p>
        </w:tc>
        <w:tc>
          <w:tcPr>
            <w:tcW w:w="3402" w:type="dxa"/>
            <w:vAlign w:val="center"/>
          </w:tcPr>
          <w:p w14:paraId="1C7191CA" w14:textId="356A406B" w:rsidR="00A94E48" w:rsidRPr="00045F6B" w:rsidRDefault="00A94E48" w:rsidP="007D779D">
            <w:r w:rsidRPr="00045F6B">
              <w:t xml:space="preserve">BŽD/centrum získalo alebo pravdepodobne získa určité finančné prostriedky z iných zdrojov, alebo tieto zdroje nepokryjú ani 75% </w:t>
            </w:r>
            <w:r w:rsidR="00FA30F0" w:rsidRPr="00045F6B">
              <w:t>prevádzkových</w:t>
            </w:r>
            <w:r w:rsidRPr="00045F6B">
              <w:t xml:space="preserve"> nákladov.</w:t>
            </w:r>
          </w:p>
        </w:tc>
      </w:tr>
      <w:tr w:rsidR="00A94E48" w:rsidRPr="00045F6B" w14:paraId="0C3DFBBB" w14:textId="77777777" w:rsidTr="00CB69FD">
        <w:tc>
          <w:tcPr>
            <w:tcW w:w="3510" w:type="dxa"/>
            <w:vAlign w:val="center"/>
          </w:tcPr>
          <w:p w14:paraId="3AF0AB22" w14:textId="64025A40" w:rsidR="00A94E48" w:rsidRPr="00045F6B" w:rsidRDefault="00A94E48" w:rsidP="007D779D">
            <w:r w:rsidRPr="00045F6B">
              <w:t xml:space="preserve">Dodatočné financovanie je pre projekt potrebné </w:t>
            </w:r>
          </w:p>
        </w:tc>
        <w:tc>
          <w:tcPr>
            <w:tcW w:w="2268" w:type="dxa"/>
            <w:vAlign w:val="center"/>
          </w:tcPr>
          <w:p w14:paraId="3DE2007B" w14:textId="4325BEBF" w:rsidR="00A94E48" w:rsidRPr="00045F6B" w:rsidRDefault="00A94E48" w:rsidP="007D779D">
            <w:pPr>
              <w:jc w:val="center"/>
            </w:pPr>
            <w:r w:rsidRPr="00045F6B">
              <w:t>0</w:t>
            </w:r>
          </w:p>
        </w:tc>
        <w:tc>
          <w:tcPr>
            <w:tcW w:w="3402" w:type="dxa"/>
            <w:vAlign w:val="center"/>
          </w:tcPr>
          <w:p w14:paraId="22395350" w14:textId="5FD0126F" w:rsidR="00A94E48" w:rsidRPr="00045F6B" w:rsidRDefault="00A94E48" w:rsidP="00A94E48">
            <w:r w:rsidRPr="00045F6B">
              <w:t xml:space="preserve">Výberová komisia by nemala odporučiť </w:t>
            </w:r>
            <w:r w:rsidR="00FA30F0" w:rsidRPr="00045F6B">
              <w:t>projekt</w:t>
            </w:r>
            <w:r w:rsidRPr="00045F6B">
              <w:t xml:space="preserve"> na dodatočné financovanie, ak disponibilná suma nie je postačujúca pre všetky projekty, ktoré sa kvalifikovali. </w:t>
            </w:r>
          </w:p>
        </w:tc>
      </w:tr>
    </w:tbl>
    <w:p w14:paraId="18B3B7FC" w14:textId="22192F78" w:rsidR="00480C26" w:rsidRPr="00045F6B" w:rsidRDefault="00480C26" w:rsidP="00BC3566">
      <w:pPr>
        <w:jc w:val="both"/>
      </w:pPr>
    </w:p>
    <w:p w14:paraId="3FB5CE82" w14:textId="42B8E3FA" w:rsidR="007D779D" w:rsidRPr="00045F6B" w:rsidRDefault="007D779D" w:rsidP="00BC3566">
      <w:pPr>
        <w:jc w:val="both"/>
        <w:rPr>
          <w:b/>
        </w:rPr>
      </w:pPr>
      <w:r w:rsidRPr="00045F6B">
        <w:rPr>
          <w:b/>
        </w:rPr>
        <w:t xml:space="preserve">3. </w:t>
      </w:r>
      <w:r w:rsidR="00A94E48" w:rsidRPr="00045F6B">
        <w:rPr>
          <w:b/>
        </w:rPr>
        <w:t xml:space="preserve">Umiestnenie služieb v súlade s prílohou 5 poslednej výzvy, </w:t>
      </w:r>
      <w:r w:rsidR="00FA30F0" w:rsidRPr="00045F6B">
        <w:rPr>
          <w:b/>
        </w:rPr>
        <w:t>pokiaľ</w:t>
      </w:r>
      <w:r w:rsidR="00A94E48" w:rsidRPr="00045F6B">
        <w:rPr>
          <w:b/>
        </w:rPr>
        <w:t xml:space="preserve"> nie sú k dispozícii novšie údaje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02"/>
      </w:tblGrid>
      <w:tr w:rsidR="00665DA3" w:rsidRPr="00045F6B" w14:paraId="37A0A245" w14:textId="77777777" w:rsidTr="007D779D">
        <w:trPr>
          <w:trHeight w:val="806"/>
        </w:trPr>
        <w:tc>
          <w:tcPr>
            <w:tcW w:w="3510" w:type="dxa"/>
            <w:vAlign w:val="center"/>
          </w:tcPr>
          <w:p w14:paraId="1FE7DE47" w14:textId="46B1EF2E" w:rsidR="00A94E48" w:rsidRPr="00045F6B" w:rsidRDefault="00A94E48" w:rsidP="007D779D">
            <w:pPr>
              <w:rPr>
                <w:b/>
              </w:rPr>
            </w:pPr>
            <w:r w:rsidRPr="00045F6B">
              <w:rPr>
                <w:b/>
              </w:rPr>
              <w:t>Umiestnenie BŽD/centra</w:t>
            </w:r>
          </w:p>
        </w:tc>
        <w:tc>
          <w:tcPr>
            <w:tcW w:w="2268" w:type="dxa"/>
            <w:vAlign w:val="center"/>
          </w:tcPr>
          <w:p w14:paraId="1D471938" w14:textId="6AEE9C3B" w:rsidR="00A94E48" w:rsidRPr="00045F6B" w:rsidRDefault="00A94E48" w:rsidP="007D779D">
            <w:pPr>
              <w:jc w:val="center"/>
              <w:rPr>
                <w:b/>
              </w:rPr>
            </w:pPr>
            <w:r w:rsidRPr="00045F6B">
              <w:rPr>
                <w:b/>
              </w:rPr>
              <w:t>Body</w:t>
            </w:r>
          </w:p>
        </w:tc>
        <w:tc>
          <w:tcPr>
            <w:tcW w:w="3402" w:type="dxa"/>
            <w:vAlign w:val="center"/>
          </w:tcPr>
          <w:p w14:paraId="4B9F4180" w14:textId="2DE84AFD" w:rsidR="00A94E48" w:rsidRPr="00045F6B" w:rsidRDefault="00A94E48" w:rsidP="007D779D">
            <w:pPr>
              <w:rPr>
                <w:b/>
              </w:rPr>
            </w:pPr>
            <w:r w:rsidRPr="00045F6B">
              <w:rPr>
                <w:b/>
              </w:rPr>
              <w:t>Poznámky</w:t>
            </w:r>
          </w:p>
        </w:tc>
      </w:tr>
      <w:tr w:rsidR="00665DA3" w:rsidRPr="00045F6B" w14:paraId="1B9ECD9A" w14:textId="77777777" w:rsidTr="007D779D">
        <w:trPr>
          <w:trHeight w:val="806"/>
        </w:trPr>
        <w:tc>
          <w:tcPr>
            <w:tcW w:w="3510" w:type="dxa"/>
            <w:vAlign w:val="center"/>
          </w:tcPr>
          <w:p w14:paraId="287DF195" w14:textId="3D71711A" w:rsidR="007D779D" w:rsidRPr="00045F6B" w:rsidRDefault="007D779D" w:rsidP="007D779D">
            <w:r w:rsidRPr="00045F6B">
              <w:t>G4</w:t>
            </w:r>
          </w:p>
        </w:tc>
        <w:tc>
          <w:tcPr>
            <w:tcW w:w="2268" w:type="dxa"/>
            <w:vAlign w:val="center"/>
          </w:tcPr>
          <w:p w14:paraId="02A9A3AB" w14:textId="77777777" w:rsidR="007D779D" w:rsidRPr="00045F6B" w:rsidRDefault="007D779D" w:rsidP="007D779D">
            <w:pPr>
              <w:jc w:val="center"/>
            </w:pPr>
            <w:r w:rsidRPr="00045F6B">
              <w:t>10</w:t>
            </w:r>
          </w:p>
        </w:tc>
        <w:tc>
          <w:tcPr>
            <w:tcW w:w="3402" w:type="dxa"/>
            <w:vAlign w:val="center"/>
          </w:tcPr>
          <w:p w14:paraId="40F895FC" w14:textId="50701475" w:rsidR="007D779D" w:rsidRPr="00045F6B" w:rsidRDefault="00A94E48" w:rsidP="00A94E48">
            <w:pPr>
              <w:jc w:val="both"/>
            </w:pPr>
            <w:r w:rsidRPr="00045F6B">
              <w:t xml:space="preserve">BŽD/centrum je umiestnené v okrese G4 – kritický okres </w:t>
            </w:r>
          </w:p>
        </w:tc>
      </w:tr>
      <w:tr w:rsidR="00665DA3" w:rsidRPr="00045F6B" w14:paraId="077688AE" w14:textId="77777777" w:rsidTr="007D779D">
        <w:trPr>
          <w:trHeight w:val="806"/>
        </w:trPr>
        <w:tc>
          <w:tcPr>
            <w:tcW w:w="3510" w:type="dxa"/>
            <w:vAlign w:val="center"/>
          </w:tcPr>
          <w:p w14:paraId="36424A63" w14:textId="440CD008" w:rsidR="00A94E48" w:rsidRPr="00045F6B" w:rsidRDefault="00A94E48" w:rsidP="007D779D">
            <w:r w:rsidRPr="00045F6B">
              <w:lastRenderedPageBreak/>
              <w:t>G3</w:t>
            </w:r>
          </w:p>
        </w:tc>
        <w:tc>
          <w:tcPr>
            <w:tcW w:w="2268" w:type="dxa"/>
            <w:vAlign w:val="center"/>
          </w:tcPr>
          <w:p w14:paraId="282C8FB5" w14:textId="677A2081" w:rsidR="00A94E48" w:rsidRPr="00045F6B" w:rsidRDefault="00A94E48" w:rsidP="007D779D">
            <w:pPr>
              <w:jc w:val="center"/>
            </w:pPr>
            <w:r w:rsidRPr="00045F6B">
              <w:t>6</w:t>
            </w:r>
          </w:p>
        </w:tc>
        <w:tc>
          <w:tcPr>
            <w:tcW w:w="3402" w:type="dxa"/>
            <w:vAlign w:val="center"/>
          </w:tcPr>
          <w:p w14:paraId="5091E121" w14:textId="3A8D7014" w:rsidR="00A94E48" w:rsidRPr="00045F6B" w:rsidRDefault="00A94E48" w:rsidP="00A94E48">
            <w:pPr>
              <w:jc w:val="both"/>
            </w:pPr>
            <w:r w:rsidRPr="00045F6B">
              <w:t xml:space="preserve">BŽD/centrum je umiestnené v okrese G3 – okres s nízkou dostupnosťou služieb </w:t>
            </w:r>
          </w:p>
        </w:tc>
      </w:tr>
      <w:tr w:rsidR="00665DA3" w:rsidRPr="00045F6B" w14:paraId="4065A10A" w14:textId="77777777" w:rsidTr="00CB69FD">
        <w:trPr>
          <w:trHeight w:val="806"/>
        </w:trPr>
        <w:tc>
          <w:tcPr>
            <w:tcW w:w="3510" w:type="dxa"/>
            <w:vAlign w:val="center"/>
          </w:tcPr>
          <w:p w14:paraId="69663EF2" w14:textId="3A9597BA" w:rsidR="00A94E48" w:rsidRPr="00045F6B" w:rsidRDefault="00A94E48" w:rsidP="007D779D">
            <w:r w:rsidRPr="00045F6B">
              <w:t>G2</w:t>
            </w:r>
          </w:p>
        </w:tc>
        <w:tc>
          <w:tcPr>
            <w:tcW w:w="2268" w:type="dxa"/>
            <w:vAlign w:val="center"/>
          </w:tcPr>
          <w:p w14:paraId="1289AB8C" w14:textId="073DA966" w:rsidR="00A94E48" w:rsidRPr="00045F6B" w:rsidRDefault="00A94E48" w:rsidP="007D779D">
            <w:pPr>
              <w:jc w:val="center"/>
            </w:pPr>
            <w:r w:rsidRPr="00045F6B">
              <w:t>4</w:t>
            </w:r>
          </w:p>
        </w:tc>
        <w:tc>
          <w:tcPr>
            <w:tcW w:w="3402" w:type="dxa"/>
            <w:vAlign w:val="center"/>
          </w:tcPr>
          <w:p w14:paraId="4686E756" w14:textId="5231A6C3" w:rsidR="00A94E48" w:rsidRPr="00045F6B" w:rsidRDefault="00A94E48" w:rsidP="00A94E48">
            <w:pPr>
              <w:jc w:val="both"/>
            </w:pPr>
            <w:r w:rsidRPr="00045F6B">
              <w:t xml:space="preserve">BŽD/centrum je umiestnené v okrese G2 – okres s </w:t>
            </w:r>
            <w:r w:rsidR="00FA30F0" w:rsidRPr="00045F6B">
              <w:t>relatívnym</w:t>
            </w:r>
            <w:r w:rsidRPr="00045F6B">
              <w:t xml:space="preserve"> pokrytím služieb</w:t>
            </w:r>
          </w:p>
        </w:tc>
      </w:tr>
      <w:tr w:rsidR="00665DA3" w:rsidRPr="00045F6B" w14:paraId="3003E628" w14:textId="77777777" w:rsidTr="00CB69FD">
        <w:trPr>
          <w:trHeight w:val="806"/>
        </w:trPr>
        <w:tc>
          <w:tcPr>
            <w:tcW w:w="3510" w:type="dxa"/>
            <w:vAlign w:val="center"/>
          </w:tcPr>
          <w:p w14:paraId="15DFCB76" w14:textId="17EA85BA" w:rsidR="00A94E48" w:rsidRPr="00045F6B" w:rsidRDefault="00A94E48" w:rsidP="007D779D">
            <w:r w:rsidRPr="00045F6B">
              <w:t>G1</w:t>
            </w:r>
          </w:p>
        </w:tc>
        <w:tc>
          <w:tcPr>
            <w:tcW w:w="2268" w:type="dxa"/>
            <w:vAlign w:val="center"/>
          </w:tcPr>
          <w:p w14:paraId="458D24A4" w14:textId="69C83A38" w:rsidR="00A94E48" w:rsidRPr="00045F6B" w:rsidRDefault="00A94E48" w:rsidP="007D779D">
            <w:pPr>
              <w:jc w:val="center"/>
            </w:pPr>
            <w:r w:rsidRPr="00045F6B">
              <w:t>2</w:t>
            </w:r>
          </w:p>
        </w:tc>
        <w:tc>
          <w:tcPr>
            <w:tcW w:w="3402" w:type="dxa"/>
            <w:vAlign w:val="center"/>
          </w:tcPr>
          <w:p w14:paraId="52C378F3" w14:textId="7DA01227" w:rsidR="00A94E48" w:rsidRPr="00045F6B" w:rsidRDefault="00A94E48" w:rsidP="00A94E48">
            <w:pPr>
              <w:jc w:val="both"/>
            </w:pPr>
            <w:r w:rsidRPr="00045F6B">
              <w:t>BŽD/centrum je umiestnené v okrese G1 – okres s pokrytím služieb</w:t>
            </w:r>
          </w:p>
        </w:tc>
      </w:tr>
      <w:tr w:rsidR="00A94E48" w:rsidRPr="00045F6B" w14:paraId="51C3B8C9" w14:textId="77777777" w:rsidTr="00CB69FD">
        <w:trPr>
          <w:trHeight w:val="806"/>
        </w:trPr>
        <w:tc>
          <w:tcPr>
            <w:tcW w:w="3510" w:type="dxa"/>
            <w:vAlign w:val="center"/>
          </w:tcPr>
          <w:p w14:paraId="50F3C38D" w14:textId="5C94D115" w:rsidR="00A94E48" w:rsidRPr="00045F6B" w:rsidRDefault="00A94E48" w:rsidP="007D779D">
            <w:r w:rsidRPr="00045F6B">
              <w:t>0</w:t>
            </w:r>
          </w:p>
        </w:tc>
        <w:tc>
          <w:tcPr>
            <w:tcW w:w="2268" w:type="dxa"/>
            <w:vAlign w:val="center"/>
          </w:tcPr>
          <w:p w14:paraId="32A1DC1A" w14:textId="5425F934" w:rsidR="00A94E48" w:rsidRPr="00045F6B" w:rsidRDefault="00A94E48" w:rsidP="007D779D">
            <w:pPr>
              <w:jc w:val="center"/>
            </w:pPr>
            <w:r w:rsidRPr="00045F6B">
              <w:t>0</w:t>
            </w:r>
          </w:p>
        </w:tc>
        <w:tc>
          <w:tcPr>
            <w:tcW w:w="3402" w:type="dxa"/>
            <w:vAlign w:val="center"/>
          </w:tcPr>
          <w:p w14:paraId="0685B029" w14:textId="20EC051E" w:rsidR="00A94E48" w:rsidRPr="00045F6B" w:rsidRDefault="00A94E48" w:rsidP="00B12F82">
            <w:pPr>
              <w:jc w:val="both"/>
            </w:pPr>
            <w:r w:rsidRPr="00045F6B">
              <w:t xml:space="preserve">Výberová komisia by nemala odporučiť </w:t>
            </w:r>
            <w:r w:rsidR="00FA30F0" w:rsidRPr="00045F6B">
              <w:t>projekt</w:t>
            </w:r>
            <w:r w:rsidRPr="00045F6B">
              <w:t xml:space="preserve"> na dodatočné financovanie, ak disponibilná suma nie je postačujúca pre všetky projekty, ktoré sa kvalifikovali. </w:t>
            </w:r>
          </w:p>
        </w:tc>
      </w:tr>
    </w:tbl>
    <w:p w14:paraId="571ECB0F" w14:textId="77777777" w:rsidR="00416749" w:rsidRPr="00045F6B" w:rsidRDefault="00416749" w:rsidP="00416749">
      <w:pPr>
        <w:jc w:val="both"/>
        <w:rPr>
          <w:b/>
        </w:rPr>
      </w:pPr>
    </w:p>
    <w:p w14:paraId="4B627FC6" w14:textId="5A6684C0" w:rsidR="00416749" w:rsidRPr="00045F6B" w:rsidRDefault="00416749" w:rsidP="00416749">
      <w:pPr>
        <w:jc w:val="both"/>
        <w:rPr>
          <w:b/>
        </w:rPr>
      </w:pPr>
      <w:r w:rsidRPr="00045F6B">
        <w:rPr>
          <w:b/>
        </w:rPr>
        <w:t xml:space="preserve">4. </w:t>
      </w:r>
      <w:r w:rsidR="00A94E48" w:rsidRPr="00045F6B">
        <w:rPr>
          <w:b/>
        </w:rPr>
        <w:t>Pridaná hodnota dodatočného financovania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02"/>
      </w:tblGrid>
      <w:tr w:rsidR="00665DA3" w:rsidRPr="00045F6B" w14:paraId="7F6A4D7E" w14:textId="77777777" w:rsidTr="005F5867">
        <w:trPr>
          <w:trHeight w:val="806"/>
        </w:trPr>
        <w:tc>
          <w:tcPr>
            <w:tcW w:w="3510" w:type="dxa"/>
            <w:vAlign w:val="center"/>
          </w:tcPr>
          <w:p w14:paraId="1CCCA806" w14:textId="50E70A53" w:rsidR="00A94E48" w:rsidRPr="00045F6B" w:rsidRDefault="00A94E48" w:rsidP="005F5867">
            <w:pPr>
              <w:rPr>
                <w:b/>
              </w:rPr>
            </w:pPr>
            <w:r w:rsidRPr="00045F6B">
              <w:rPr>
                <w:b/>
              </w:rPr>
              <w:t xml:space="preserve">Pridaná hodnota </w:t>
            </w:r>
          </w:p>
        </w:tc>
        <w:tc>
          <w:tcPr>
            <w:tcW w:w="2268" w:type="dxa"/>
            <w:vAlign w:val="center"/>
          </w:tcPr>
          <w:p w14:paraId="7256A087" w14:textId="44586E2E" w:rsidR="00A94E48" w:rsidRPr="00045F6B" w:rsidRDefault="00A94E48" w:rsidP="005F5867">
            <w:pPr>
              <w:jc w:val="center"/>
              <w:rPr>
                <w:b/>
              </w:rPr>
            </w:pPr>
            <w:r w:rsidRPr="00045F6B">
              <w:rPr>
                <w:b/>
              </w:rPr>
              <w:t>Body</w:t>
            </w:r>
          </w:p>
        </w:tc>
        <w:tc>
          <w:tcPr>
            <w:tcW w:w="3402" w:type="dxa"/>
            <w:vAlign w:val="center"/>
          </w:tcPr>
          <w:p w14:paraId="00595DA6" w14:textId="6585071D" w:rsidR="00A94E48" w:rsidRPr="00045F6B" w:rsidRDefault="00A94E48" w:rsidP="005F5867">
            <w:pPr>
              <w:rPr>
                <w:b/>
              </w:rPr>
            </w:pPr>
            <w:r w:rsidRPr="00045F6B">
              <w:rPr>
                <w:b/>
              </w:rPr>
              <w:t>Poznámky</w:t>
            </w:r>
          </w:p>
        </w:tc>
      </w:tr>
      <w:tr w:rsidR="00665DA3" w:rsidRPr="00045F6B" w14:paraId="1B2251B7" w14:textId="77777777" w:rsidTr="005F5867">
        <w:trPr>
          <w:trHeight w:val="806"/>
        </w:trPr>
        <w:tc>
          <w:tcPr>
            <w:tcW w:w="3510" w:type="dxa"/>
            <w:vAlign w:val="center"/>
          </w:tcPr>
          <w:p w14:paraId="2C2BD0B7" w14:textId="27772318" w:rsidR="00416749" w:rsidRPr="00045F6B" w:rsidRDefault="00A94E48" w:rsidP="005F5867">
            <w:r w:rsidRPr="00045F6B">
              <w:t>Výnimočná</w:t>
            </w:r>
          </w:p>
        </w:tc>
        <w:tc>
          <w:tcPr>
            <w:tcW w:w="2268" w:type="dxa"/>
            <w:vAlign w:val="center"/>
          </w:tcPr>
          <w:p w14:paraId="27F2BA99" w14:textId="77777777" w:rsidR="00416749" w:rsidRPr="00045F6B" w:rsidRDefault="00416749" w:rsidP="005F5867">
            <w:pPr>
              <w:jc w:val="center"/>
            </w:pPr>
            <w:r w:rsidRPr="00045F6B">
              <w:t>10</w:t>
            </w:r>
          </w:p>
        </w:tc>
        <w:tc>
          <w:tcPr>
            <w:tcW w:w="3402" w:type="dxa"/>
            <w:vAlign w:val="center"/>
          </w:tcPr>
          <w:p w14:paraId="25ED4950" w14:textId="0CCC2983" w:rsidR="00416749" w:rsidRPr="00045F6B" w:rsidRDefault="00A94E48" w:rsidP="00DF41BD">
            <w:pPr>
              <w:jc w:val="both"/>
            </w:pPr>
            <w:r w:rsidRPr="00045F6B">
              <w:t xml:space="preserve">Dodatočné financovanie prináša </w:t>
            </w:r>
            <w:r w:rsidR="00FA30F0" w:rsidRPr="00045F6B">
              <w:t>aktivity</w:t>
            </w:r>
            <w:r w:rsidRPr="00045F6B">
              <w:t xml:space="preserve">, ktoré sú </w:t>
            </w:r>
            <w:r w:rsidR="00DF41BD" w:rsidRPr="00045F6B">
              <w:t xml:space="preserve">pre program obzvlášť podstatné, ako je zlepšenie súladu s minimálnymi štandardmi RE, dôležitá bilaterálna spolupráca a iné.  Dodatočné financovanie taktiež spôsobí významný nárast cieľových hodnôt indikátorov. </w:t>
            </w:r>
          </w:p>
        </w:tc>
      </w:tr>
      <w:tr w:rsidR="00665DA3" w:rsidRPr="00045F6B" w14:paraId="2D48DD1B" w14:textId="77777777" w:rsidTr="005F5867">
        <w:trPr>
          <w:trHeight w:val="806"/>
        </w:trPr>
        <w:tc>
          <w:tcPr>
            <w:tcW w:w="3510" w:type="dxa"/>
            <w:vAlign w:val="center"/>
          </w:tcPr>
          <w:p w14:paraId="0EA5902E" w14:textId="63CFB805" w:rsidR="00416749" w:rsidRPr="00045F6B" w:rsidRDefault="00FA30F0" w:rsidP="005F5867">
            <w:r w:rsidRPr="00045F6B">
              <w:t>Presahuje očakávania</w:t>
            </w:r>
          </w:p>
        </w:tc>
        <w:tc>
          <w:tcPr>
            <w:tcW w:w="2268" w:type="dxa"/>
            <w:vAlign w:val="center"/>
          </w:tcPr>
          <w:p w14:paraId="0098FF1E" w14:textId="77777777" w:rsidR="00416749" w:rsidRPr="00045F6B" w:rsidRDefault="00416749" w:rsidP="005F5867">
            <w:pPr>
              <w:jc w:val="center"/>
            </w:pPr>
            <w:r w:rsidRPr="00045F6B">
              <w:t>6</w:t>
            </w:r>
          </w:p>
        </w:tc>
        <w:tc>
          <w:tcPr>
            <w:tcW w:w="3402" w:type="dxa"/>
            <w:vAlign w:val="center"/>
          </w:tcPr>
          <w:p w14:paraId="087FE38A" w14:textId="5820226D" w:rsidR="00416749" w:rsidRPr="00045F6B" w:rsidRDefault="00DF41BD" w:rsidP="00DF41BD">
            <w:pPr>
              <w:jc w:val="both"/>
            </w:pPr>
            <w:r w:rsidRPr="00045F6B">
              <w:t xml:space="preserve">Časť dodatočného financovania smeruje k aktivitám, ktoré sú pre program určitým spôsobom podstatné, ako sú vyhľadávacie činnosti, prevencia, práca s páchateľom a pod. Dodatočné financovanie taktiež spôsobí významný nárast cieľových hodnôt indikátorov.  </w:t>
            </w:r>
          </w:p>
        </w:tc>
      </w:tr>
      <w:tr w:rsidR="00665DA3" w:rsidRPr="00045F6B" w14:paraId="2DB9CB8E" w14:textId="77777777" w:rsidTr="00CB69FD">
        <w:trPr>
          <w:trHeight w:val="806"/>
        </w:trPr>
        <w:tc>
          <w:tcPr>
            <w:tcW w:w="3510" w:type="dxa"/>
            <w:vAlign w:val="center"/>
          </w:tcPr>
          <w:p w14:paraId="477313E6" w14:textId="787940A2" w:rsidR="00416749" w:rsidRPr="00045F6B" w:rsidRDefault="00FA30F0" w:rsidP="00416749">
            <w:r w:rsidRPr="00045F6B">
              <w:t>Priemerná</w:t>
            </w:r>
          </w:p>
        </w:tc>
        <w:tc>
          <w:tcPr>
            <w:tcW w:w="2268" w:type="dxa"/>
            <w:vAlign w:val="center"/>
          </w:tcPr>
          <w:p w14:paraId="24CF3EFD" w14:textId="2AE141E6" w:rsidR="00416749" w:rsidRPr="00045F6B" w:rsidRDefault="00416749" w:rsidP="005F5867">
            <w:pPr>
              <w:jc w:val="center"/>
            </w:pPr>
            <w:r w:rsidRPr="00045F6B">
              <w:t>4</w:t>
            </w:r>
          </w:p>
        </w:tc>
        <w:tc>
          <w:tcPr>
            <w:tcW w:w="3402" w:type="dxa"/>
            <w:vAlign w:val="center"/>
          </w:tcPr>
          <w:p w14:paraId="3DB040FC" w14:textId="46421F24" w:rsidR="00416749" w:rsidRPr="00045F6B" w:rsidRDefault="00DF41BD" w:rsidP="00570EE7">
            <w:pPr>
              <w:jc w:val="both"/>
            </w:pPr>
            <w:r w:rsidRPr="00045F6B">
              <w:t xml:space="preserve">Veľká väčšina dodatočného financovania sa zameriava len na opakované </w:t>
            </w:r>
            <w:r w:rsidR="00FA30F0" w:rsidRPr="00045F6B">
              <w:t>aktivity</w:t>
            </w:r>
            <w:r w:rsidR="00570EE7" w:rsidRPr="00045F6B">
              <w:t>,</w:t>
            </w:r>
            <w:r w:rsidRPr="00045F6B">
              <w:t xml:space="preserve"> ktoré sú podporené aj v rámci pôvodného projek</w:t>
            </w:r>
            <w:r w:rsidR="00CA6AE3" w:rsidRPr="00045F6B">
              <w:t>tu alebo dodatočné financovanie</w:t>
            </w:r>
            <w:r w:rsidRPr="00045F6B">
              <w:t xml:space="preserve"> prinesie primeraný </w:t>
            </w:r>
            <w:r w:rsidR="00FA30F0" w:rsidRPr="00045F6B">
              <w:t>nárast</w:t>
            </w:r>
            <w:r w:rsidRPr="00045F6B">
              <w:t xml:space="preserve"> cieľových hodnôt indikátorov. </w:t>
            </w:r>
          </w:p>
        </w:tc>
      </w:tr>
      <w:tr w:rsidR="00665DA3" w:rsidRPr="00045F6B" w14:paraId="397CA7B4" w14:textId="77777777" w:rsidTr="00CB69FD">
        <w:trPr>
          <w:trHeight w:val="806"/>
        </w:trPr>
        <w:tc>
          <w:tcPr>
            <w:tcW w:w="3510" w:type="dxa"/>
            <w:vAlign w:val="center"/>
          </w:tcPr>
          <w:p w14:paraId="4BC2CF6A" w14:textId="3200F652" w:rsidR="00416749" w:rsidRPr="00045F6B" w:rsidRDefault="00FA30F0" w:rsidP="005F5867">
            <w:r w:rsidRPr="00045F6B">
              <w:t>Nedosahuje očakávania</w:t>
            </w:r>
          </w:p>
        </w:tc>
        <w:tc>
          <w:tcPr>
            <w:tcW w:w="2268" w:type="dxa"/>
            <w:vAlign w:val="center"/>
          </w:tcPr>
          <w:p w14:paraId="0B9C04A1" w14:textId="4985022D" w:rsidR="00416749" w:rsidRPr="00045F6B" w:rsidRDefault="00DF41BD" w:rsidP="005F5867">
            <w:pPr>
              <w:jc w:val="center"/>
            </w:pPr>
            <w:r w:rsidRPr="00045F6B">
              <w:t>2</w:t>
            </w:r>
          </w:p>
        </w:tc>
        <w:tc>
          <w:tcPr>
            <w:tcW w:w="3402" w:type="dxa"/>
            <w:vAlign w:val="center"/>
          </w:tcPr>
          <w:p w14:paraId="7B6A5646" w14:textId="47DA7512" w:rsidR="00416749" w:rsidRPr="00045F6B" w:rsidRDefault="00DF41BD" w:rsidP="00DF41BD">
            <w:pPr>
              <w:jc w:val="both"/>
            </w:pPr>
            <w:r w:rsidRPr="00045F6B">
              <w:t xml:space="preserve">Zvýšenie financovania predstavuje len zanedbateľný nárast cieľových hodnôt indikátorov. </w:t>
            </w:r>
          </w:p>
        </w:tc>
      </w:tr>
      <w:tr w:rsidR="00DF41BD" w:rsidRPr="00045F6B" w14:paraId="447B12CF" w14:textId="77777777" w:rsidTr="00CB69FD">
        <w:trPr>
          <w:trHeight w:val="806"/>
        </w:trPr>
        <w:tc>
          <w:tcPr>
            <w:tcW w:w="3510" w:type="dxa"/>
            <w:vAlign w:val="center"/>
          </w:tcPr>
          <w:p w14:paraId="40898FFF" w14:textId="2E25EE33" w:rsidR="00DF41BD" w:rsidRPr="00045F6B" w:rsidRDefault="00FA30F0" w:rsidP="005F5867">
            <w:r w:rsidRPr="00045F6B">
              <w:lastRenderedPageBreak/>
              <w:t>Záporná pridaná hodnota</w:t>
            </w:r>
          </w:p>
        </w:tc>
        <w:tc>
          <w:tcPr>
            <w:tcW w:w="2268" w:type="dxa"/>
            <w:vAlign w:val="center"/>
          </w:tcPr>
          <w:p w14:paraId="7865F3AA" w14:textId="6ED14623" w:rsidR="00DF41BD" w:rsidRPr="00045F6B" w:rsidRDefault="00DF41BD" w:rsidP="005F5867">
            <w:pPr>
              <w:jc w:val="center"/>
            </w:pPr>
            <w:r w:rsidRPr="00045F6B">
              <w:t>0</w:t>
            </w:r>
          </w:p>
        </w:tc>
        <w:tc>
          <w:tcPr>
            <w:tcW w:w="3402" w:type="dxa"/>
            <w:vAlign w:val="center"/>
          </w:tcPr>
          <w:p w14:paraId="7A41AC47" w14:textId="3F7EE0D0" w:rsidR="00DF41BD" w:rsidRPr="00045F6B" w:rsidRDefault="00DF41BD" w:rsidP="00570EE7">
            <w:pPr>
              <w:jc w:val="both"/>
            </w:pPr>
            <w:r w:rsidRPr="00045F6B">
              <w:t>Použitie dodatočného financovania nie je jasné alebo dodatočné financovanie nie je v súlade s</w:t>
            </w:r>
            <w:r w:rsidR="00570EE7" w:rsidRPr="00045F6B">
              <w:t> </w:t>
            </w:r>
            <w:r w:rsidRPr="00045F6B">
              <w:t>cieľmi</w:t>
            </w:r>
            <w:r w:rsidR="00570EE7" w:rsidRPr="00045F6B">
              <w:t>,</w:t>
            </w:r>
            <w:r w:rsidRPr="00045F6B">
              <w:t xml:space="preserve"> alebo stratégiou programu. V tomto prípade by </w:t>
            </w:r>
            <w:r w:rsidR="00FA30F0" w:rsidRPr="00045F6B">
              <w:t>Výberová komisia nemala odporučiť projekt na doda</w:t>
            </w:r>
            <w:r w:rsidRPr="00045F6B">
              <w:t>t</w:t>
            </w:r>
            <w:r w:rsidR="00FA30F0" w:rsidRPr="00045F6B">
              <w:t>o</w:t>
            </w:r>
            <w:r w:rsidRPr="00045F6B">
              <w:t>čné financovanie</w:t>
            </w:r>
            <w:r w:rsidR="00FA30F0" w:rsidRPr="00045F6B">
              <w:t>.</w:t>
            </w:r>
          </w:p>
        </w:tc>
      </w:tr>
    </w:tbl>
    <w:p w14:paraId="7C545C36" w14:textId="77777777" w:rsidR="00416749" w:rsidRPr="00045F6B" w:rsidRDefault="00416749" w:rsidP="00BC3566">
      <w:pPr>
        <w:jc w:val="both"/>
      </w:pPr>
    </w:p>
    <w:p w14:paraId="002FEB87" w14:textId="467FBFA6" w:rsidR="00FA30F0" w:rsidRPr="00045F6B" w:rsidRDefault="00FA30F0" w:rsidP="00DF41BD">
      <w:pPr>
        <w:jc w:val="both"/>
      </w:pPr>
      <w:r w:rsidRPr="00045F6B">
        <w:t>Správca programu vyhodnotí splnenie bodovacích kritérií a poskytne výberovej komisii poradie. Výberová komisia poradie preskúma a prijme odporúčania nasledovne:</w:t>
      </w:r>
    </w:p>
    <w:p w14:paraId="11914312" w14:textId="1785385C" w:rsidR="00FA30F0" w:rsidRPr="00045F6B" w:rsidRDefault="00FA30F0" w:rsidP="00B30D33">
      <w:pPr>
        <w:pStyle w:val="Odsekzoznamu"/>
        <w:numPr>
          <w:ilvl w:val="0"/>
          <w:numId w:val="4"/>
        </w:numPr>
        <w:jc w:val="both"/>
      </w:pPr>
      <w:r w:rsidRPr="00045F6B">
        <w:t xml:space="preserve">Projekty, ktoré dosiahnu 0 bodov v bodovacom kritériu </w:t>
      </w:r>
      <w:r w:rsidR="00CA6AE3" w:rsidRPr="00045F6B">
        <w:t xml:space="preserve">1 alebo 4 </w:t>
      </w:r>
      <w:r w:rsidRPr="00045F6B">
        <w:t>(súlad s minimálnymi štandardmi RE, pridaná hodnota), nebudú odporučené na dodatočné financovanie.</w:t>
      </w:r>
    </w:p>
    <w:p w14:paraId="6B2D9CAE" w14:textId="2A9D3111" w:rsidR="00FA30F0" w:rsidRPr="00045F6B" w:rsidRDefault="00FA30F0" w:rsidP="00B30D33">
      <w:pPr>
        <w:pStyle w:val="Odsekzoznamu"/>
        <w:numPr>
          <w:ilvl w:val="0"/>
          <w:numId w:val="4"/>
        </w:numPr>
        <w:jc w:val="both"/>
      </w:pPr>
      <w:r w:rsidRPr="00045F6B">
        <w:t>Projekty, ktoré dosiahnu 0 bodov v bodovacom kritériu 2 alebo 3</w:t>
      </w:r>
      <w:r w:rsidR="00570EE7" w:rsidRPr="00045F6B">
        <w:t>,</w:t>
      </w:r>
      <w:r w:rsidRPr="00045F6B">
        <w:t xml:space="preserve"> bud</w:t>
      </w:r>
      <w:r w:rsidR="00570EE7" w:rsidRPr="00045F6B">
        <w:t>ú</w:t>
      </w:r>
      <w:r w:rsidRPr="00045F6B">
        <w:t xml:space="preserve"> zoradené </w:t>
      </w:r>
      <w:r w:rsidR="00570EE7" w:rsidRPr="00045F6B">
        <w:t xml:space="preserve">v spodnej časti </w:t>
      </w:r>
      <w:r w:rsidRPr="00045F6B">
        <w:t>poradia a</w:t>
      </w:r>
      <w:r w:rsidR="00570EE7" w:rsidRPr="00045F6B">
        <w:t xml:space="preserve"> budú </w:t>
      </w:r>
      <w:r w:rsidRPr="00045F6B">
        <w:t xml:space="preserve">odporúčané len v prípade, ak je k dispozícii </w:t>
      </w:r>
      <w:r w:rsidR="00846C99" w:rsidRPr="00045F6B">
        <w:t>dostatočný</w:t>
      </w:r>
      <w:r w:rsidRPr="00045F6B">
        <w:t xml:space="preserve"> objem finančných prostriedkov pre všetky projekty, ktoré sa kvalifikovali (s výnimkou projektov podľa </w:t>
      </w:r>
      <w:r w:rsidR="00846C99" w:rsidRPr="00045F6B">
        <w:t>predchádzajúceho odseku</w:t>
      </w:r>
      <w:r w:rsidRPr="00045F6B">
        <w:t xml:space="preserve">). </w:t>
      </w:r>
    </w:p>
    <w:p w14:paraId="01074143" w14:textId="03F9EC69" w:rsidR="00FA30F0" w:rsidRPr="00045F6B" w:rsidRDefault="00FA30F0" w:rsidP="00B30D33">
      <w:pPr>
        <w:pStyle w:val="Odsekzoznamu"/>
        <w:numPr>
          <w:ilvl w:val="0"/>
          <w:numId w:val="4"/>
        </w:numPr>
        <w:jc w:val="both"/>
      </w:pPr>
      <w:r w:rsidRPr="00045F6B">
        <w:t>Projekty, ktoré nedosiahnu viac ako 10 bodov</w:t>
      </w:r>
      <w:r w:rsidR="00570EE7" w:rsidRPr="00045F6B">
        <w:t>,</w:t>
      </w:r>
      <w:r w:rsidRPr="00045F6B">
        <w:t xml:space="preserve"> nebudú odporučené na dodatočné financovanie.</w:t>
      </w:r>
    </w:p>
    <w:p w14:paraId="7C510867" w14:textId="25EF3DD4" w:rsidR="00FA30F0" w:rsidRPr="00045F6B" w:rsidRDefault="00FA30F0" w:rsidP="00B30D33">
      <w:pPr>
        <w:pStyle w:val="Odsekzoznamu"/>
        <w:numPr>
          <w:ilvl w:val="0"/>
          <w:numId w:val="4"/>
        </w:numPr>
        <w:jc w:val="both"/>
      </w:pPr>
      <w:r w:rsidRPr="00045F6B">
        <w:t>Projekt</w:t>
      </w:r>
      <w:r w:rsidR="00B30D33" w:rsidRPr="00045F6B">
        <w:t>y</w:t>
      </w:r>
      <w:r w:rsidRPr="00045F6B">
        <w:t>, ktoré dosiahnu viac ako 10 bodov</w:t>
      </w:r>
      <w:r w:rsidR="00570EE7" w:rsidRPr="00045F6B">
        <w:t>,</w:t>
      </w:r>
      <w:r w:rsidRPr="00045F6B">
        <w:t xml:space="preserve"> budú odporučené na základe poradia a disponibilnej alokácie. </w:t>
      </w:r>
    </w:p>
    <w:p w14:paraId="06CBE990" w14:textId="77777777" w:rsidR="00226BEE" w:rsidRPr="00045F6B" w:rsidRDefault="00226BEE" w:rsidP="00226BEE">
      <w:pPr>
        <w:pStyle w:val="Odsekzoznamu"/>
        <w:ind w:left="360"/>
        <w:jc w:val="both"/>
      </w:pPr>
    </w:p>
    <w:p w14:paraId="57AA27FC" w14:textId="6B7011A2" w:rsidR="00FA30F0" w:rsidRPr="00045F6B" w:rsidRDefault="00FA30F0" w:rsidP="00FA30F0">
      <w:pPr>
        <w:pStyle w:val="Odsekzoznamu"/>
        <w:ind w:left="0"/>
        <w:jc w:val="both"/>
      </w:pPr>
      <w:r w:rsidRPr="00045F6B">
        <w:t>V procese prijímania odporúčaní k dodatočnej podpore sa primerane uplatn</w:t>
      </w:r>
      <w:r w:rsidR="00570EE7" w:rsidRPr="00045F6B">
        <w:t>í</w:t>
      </w:r>
      <w:r w:rsidRPr="00045F6B">
        <w:t xml:space="preserve"> štatút a rokovací poriadok výberovej komisie.</w:t>
      </w:r>
    </w:p>
    <w:p w14:paraId="64C92E1D" w14:textId="77777777" w:rsidR="00FA30F0" w:rsidRPr="00045F6B" w:rsidRDefault="00FA30F0" w:rsidP="00BC3566">
      <w:pPr>
        <w:jc w:val="both"/>
      </w:pPr>
    </w:p>
    <w:p w14:paraId="14FAFF9B" w14:textId="0FDAFE45" w:rsidR="00FA30F0" w:rsidRPr="00665DA3" w:rsidRDefault="00FA30F0" w:rsidP="00BC3566">
      <w:pPr>
        <w:jc w:val="both"/>
      </w:pPr>
      <w:r w:rsidRPr="00045F6B">
        <w:t>Správca programu bude vo všeobecnosti akceptovať odporúčanie výberovej komisie, vyhradzuje si však právo overiť výberový proces, ako aj znížiť sumu dodatočnej podpory, ak je to vhodné.</w:t>
      </w:r>
      <w:r w:rsidRPr="00665DA3">
        <w:t xml:space="preserve"> </w:t>
      </w:r>
    </w:p>
    <w:p w14:paraId="55F3B2C4" w14:textId="31F2577A" w:rsidR="008303BF" w:rsidRPr="00665DA3" w:rsidRDefault="008303BF"/>
    <w:sectPr w:rsidR="008303BF" w:rsidRPr="00665DA3" w:rsidSect="00A9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056F57" w15:done="0"/>
  <w15:commentEx w15:paraId="297CCED9" w15:done="0"/>
  <w15:commentEx w15:paraId="101E9A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42B0"/>
    <w:multiLevelType w:val="hybridMultilevel"/>
    <w:tmpl w:val="3CD29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395C"/>
    <w:multiLevelType w:val="hybridMultilevel"/>
    <w:tmpl w:val="6E7871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06F6D"/>
    <w:multiLevelType w:val="hybridMultilevel"/>
    <w:tmpl w:val="9D44AE8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940C4A"/>
    <w:multiLevelType w:val="hybridMultilevel"/>
    <w:tmpl w:val="56207E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KAKI Evangelia">
    <w15:presenceInfo w15:providerId="AD" w15:userId="S-1-5-21-2003984605-635780473-1221738049-14250"/>
  </w15:person>
  <w15:person w15:author="THORSNES Maria">
    <w15:presenceInfo w15:providerId="AD" w15:userId="S-1-5-21-2003984605-635780473-1221738049-8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BF"/>
    <w:rsid w:val="00006563"/>
    <w:rsid w:val="00023AA1"/>
    <w:rsid w:val="000268D5"/>
    <w:rsid w:val="000411AB"/>
    <w:rsid w:val="00045F6B"/>
    <w:rsid w:val="000560CE"/>
    <w:rsid w:val="000A3E39"/>
    <w:rsid w:val="00113300"/>
    <w:rsid w:val="00125B33"/>
    <w:rsid w:val="00140845"/>
    <w:rsid w:val="001442C2"/>
    <w:rsid w:val="0015507B"/>
    <w:rsid w:val="00183494"/>
    <w:rsid w:val="001A5E41"/>
    <w:rsid w:val="001D69D5"/>
    <w:rsid w:val="00226BEE"/>
    <w:rsid w:val="002363C5"/>
    <w:rsid w:val="00247FF5"/>
    <w:rsid w:val="002645C8"/>
    <w:rsid w:val="002A0B26"/>
    <w:rsid w:val="002B5501"/>
    <w:rsid w:val="002F4E70"/>
    <w:rsid w:val="003036B0"/>
    <w:rsid w:val="00355F59"/>
    <w:rsid w:val="0036123B"/>
    <w:rsid w:val="003870FC"/>
    <w:rsid w:val="00393DE2"/>
    <w:rsid w:val="003A217D"/>
    <w:rsid w:val="003A3C77"/>
    <w:rsid w:val="003A7BF5"/>
    <w:rsid w:val="003E34FB"/>
    <w:rsid w:val="004047AE"/>
    <w:rsid w:val="00416749"/>
    <w:rsid w:val="00441D9E"/>
    <w:rsid w:val="00475857"/>
    <w:rsid w:val="00480C26"/>
    <w:rsid w:val="004929C0"/>
    <w:rsid w:val="004C6213"/>
    <w:rsid w:val="004C70D1"/>
    <w:rsid w:val="004E596C"/>
    <w:rsid w:val="00541625"/>
    <w:rsid w:val="00570EE7"/>
    <w:rsid w:val="00576966"/>
    <w:rsid w:val="005C536D"/>
    <w:rsid w:val="005F481A"/>
    <w:rsid w:val="00652454"/>
    <w:rsid w:val="00665DA3"/>
    <w:rsid w:val="00672361"/>
    <w:rsid w:val="00680BCA"/>
    <w:rsid w:val="00681371"/>
    <w:rsid w:val="006B0599"/>
    <w:rsid w:val="006C69B0"/>
    <w:rsid w:val="006E49AB"/>
    <w:rsid w:val="00731A1C"/>
    <w:rsid w:val="00735FAF"/>
    <w:rsid w:val="00770B36"/>
    <w:rsid w:val="007874BA"/>
    <w:rsid w:val="007D779D"/>
    <w:rsid w:val="008210A5"/>
    <w:rsid w:val="008303BF"/>
    <w:rsid w:val="00846C99"/>
    <w:rsid w:val="008A7777"/>
    <w:rsid w:val="008C265F"/>
    <w:rsid w:val="008C5DDC"/>
    <w:rsid w:val="0097040B"/>
    <w:rsid w:val="009C0428"/>
    <w:rsid w:val="009F2E19"/>
    <w:rsid w:val="00A000A1"/>
    <w:rsid w:val="00A06F07"/>
    <w:rsid w:val="00A4106D"/>
    <w:rsid w:val="00A94E48"/>
    <w:rsid w:val="00AD20D2"/>
    <w:rsid w:val="00AE0F61"/>
    <w:rsid w:val="00B12F82"/>
    <w:rsid w:val="00B30D33"/>
    <w:rsid w:val="00B60B76"/>
    <w:rsid w:val="00B73999"/>
    <w:rsid w:val="00BB2CA3"/>
    <w:rsid w:val="00BC3566"/>
    <w:rsid w:val="00C13015"/>
    <w:rsid w:val="00C14032"/>
    <w:rsid w:val="00C46994"/>
    <w:rsid w:val="00C952E4"/>
    <w:rsid w:val="00CA6AE3"/>
    <w:rsid w:val="00CB69FD"/>
    <w:rsid w:val="00CD00F7"/>
    <w:rsid w:val="00CD6F39"/>
    <w:rsid w:val="00D152EA"/>
    <w:rsid w:val="00D3557D"/>
    <w:rsid w:val="00D64E5A"/>
    <w:rsid w:val="00DC0ACB"/>
    <w:rsid w:val="00DE0844"/>
    <w:rsid w:val="00DF41BD"/>
    <w:rsid w:val="00E25E27"/>
    <w:rsid w:val="00E333A7"/>
    <w:rsid w:val="00E752B7"/>
    <w:rsid w:val="00EB3743"/>
    <w:rsid w:val="00EE78DC"/>
    <w:rsid w:val="00EF114E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3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D69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69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9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69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69D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9D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64E5A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48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D69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69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9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69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69D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9D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64E5A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48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UVSR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</dc:creator>
  <cp:lastModifiedBy>Dacková Jana</cp:lastModifiedBy>
  <cp:revision>8</cp:revision>
  <cp:lastPrinted>2016-08-18T12:17:00Z</cp:lastPrinted>
  <dcterms:created xsi:type="dcterms:W3CDTF">2016-08-08T11:04:00Z</dcterms:created>
  <dcterms:modified xsi:type="dcterms:W3CDTF">2016-08-19T07:31:00Z</dcterms:modified>
</cp:coreProperties>
</file>